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35740" w:rsidRDefault="00000000">
      <w:pPr>
        <w:pStyle w:val="Title"/>
        <w:keepLines/>
        <w:widowControl/>
        <w:ind w:firstLine="713"/>
      </w:pPr>
      <w:r>
        <w:t>Virginia Regulatory Assessment Template</w:t>
      </w:r>
    </w:p>
    <w:p w14:paraId="00000002" w14:textId="77777777" w:rsidR="00535740" w:rsidRDefault="00535740">
      <w:pPr>
        <w:pStyle w:val="Title"/>
        <w:keepLines/>
        <w:widowControl/>
        <w:ind w:firstLine="713"/>
        <w:jc w:val="left"/>
        <w:rPr>
          <w:sz w:val="24"/>
          <w:szCs w:val="24"/>
        </w:rPr>
      </w:pPr>
    </w:p>
    <w:p w14:paraId="00000003" w14:textId="77777777" w:rsidR="00535740" w:rsidRDefault="00000000">
      <w:pPr>
        <w:pStyle w:val="Title"/>
        <w:keepLines/>
        <w:widowControl/>
        <w:ind w:left="180"/>
        <w:jc w:val="left"/>
        <w:rPr>
          <w:sz w:val="22"/>
          <w:szCs w:val="22"/>
        </w:rPr>
      </w:pPr>
      <w:r>
        <w:rPr>
          <w:b/>
          <w:sz w:val="22"/>
          <w:szCs w:val="22"/>
        </w:rPr>
        <w:t>Instructions:</w:t>
      </w:r>
    </w:p>
    <w:p w14:paraId="00000004" w14:textId="77777777" w:rsidR="00535740" w:rsidRDefault="00000000">
      <w:pPr>
        <w:pStyle w:val="Title"/>
        <w:keepLines/>
        <w:widowControl/>
        <w:numPr>
          <w:ilvl w:val="0"/>
          <w:numId w:val="1"/>
        </w:numPr>
        <w:jc w:val="left"/>
        <w:rPr>
          <w:sz w:val="22"/>
          <w:szCs w:val="22"/>
        </w:rPr>
      </w:pPr>
      <w:r>
        <w:rPr>
          <w:sz w:val="22"/>
          <w:szCs w:val="22"/>
        </w:rPr>
        <w:t xml:space="preserve">Select one (1) “performance area” or outcome from the following set to evaluate how </w:t>
      </w:r>
      <w:r>
        <w:rPr>
          <w:sz w:val="22"/>
          <w:szCs w:val="22"/>
          <w:u w:val="single"/>
        </w:rPr>
        <w:t>existing</w:t>
      </w:r>
      <w:r>
        <w:rPr>
          <w:sz w:val="22"/>
          <w:szCs w:val="22"/>
        </w:rPr>
        <w:t xml:space="preserve"> regulatory mechanisms in Virginia support (incentivize) the achievement of that outcome or disincentivize the achievement of the outcome. Consider this question for each regulatory mechanism identified in the template, and for the overall performance of Virginia’s utility regulatory structure to support (or hinder) that outcome (performance area).</w:t>
      </w:r>
    </w:p>
    <w:p w14:paraId="00000005" w14:textId="77777777" w:rsidR="00535740" w:rsidRDefault="00000000">
      <w:pPr>
        <w:pStyle w:val="Title"/>
        <w:keepLines/>
        <w:widowControl/>
        <w:numPr>
          <w:ilvl w:val="0"/>
          <w:numId w:val="1"/>
        </w:numPr>
        <w:jc w:val="left"/>
        <w:rPr>
          <w:sz w:val="22"/>
          <w:szCs w:val="22"/>
        </w:rPr>
      </w:pPr>
      <w:r>
        <w:rPr>
          <w:sz w:val="22"/>
          <w:szCs w:val="22"/>
        </w:rPr>
        <w:t xml:space="preserve">Each stakeholder should complete worksheets </w:t>
      </w:r>
      <w:r w:rsidRPr="00070A11">
        <w:rPr>
          <w:sz w:val="22"/>
          <w:szCs w:val="22"/>
        </w:rPr>
        <w:t>for at least two performance areas of their</w:t>
      </w:r>
      <w:r>
        <w:rPr>
          <w:sz w:val="22"/>
          <w:szCs w:val="22"/>
        </w:rPr>
        <w:t xml:space="preserve"> choosing. Additional (more than two) performance areas can be evaluated in additional worksheets, at your discretion.</w:t>
      </w:r>
    </w:p>
    <w:p w14:paraId="00000006" w14:textId="77777777" w:rsidR="00535740" w:rsidRDefault="00535740"/>
    <w:p w14:paraId="00000007" w14:textId="77777777" w:rsidR="00535740" w:rsidRDefault="00535740"/>
    <w:p w14:paraId="00000008" w14:textId="77777777" w:rsidR="00535740" w:rsidRDefault="00535740"/>
    <w:p w14:paraId="00000009" w14:textId="77777777" w:rsidR="00535740" w:rsidRDefault="00535740"/>
    <w:p w14:paraId="0000000A" w14:textId="77777777" w:rsidR="00535740" w:rsidRDefault="00000000">
      <w:pPr>
        <w:pStyle w:val="Title"/>
        <w:keepLines/>
        <w:spacing w:before="120"/>
        <w:ind w:left="180"/>
        <w:jc w:val="left"/>
        <w:rPr>
          <w:i/>
          <w:sz w:val="22"/>
          <w:szCs w:val="22"/>
        </w:rPr>
      </w:pPr>
      <w:r>
        <w:rPr>
          <w:b/>
          <w:sz w:val="22"/>
          <w:szCs w:val="22"/>
        </w:rPr>
        <w:t>Reference Key:</w:t>
      </w:r>
      <w:r>
        <w:rPr>
          <w:sz w:val="22"/>
          <w:szCs w:val="22"/>
        </w:rPr>
        <w:t xml:space="preserve"> Performance Areas from </w:t>
      </w:r>
      <w:r>
        <w:rPr>
          <w:i/>
          <w:sz w:val="22"/>
          <w:szCs w:val="22"/>
        </w:rPr>
        <w:t>House Joint Resolution No. 30 / Senate Joint Resolution No. 47</w:t>
      </w:r>
    </w:p>
    <w:tbl>
      <w:tblPr>
        <w:tblStyle w:val="a"/>
        <w:tblW w:w="129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1"/>
        <w:gridCol w:w="6629"/>
      </w:tblGrid>
      <w:tr w:rsidR="00535740" w14:paraId="6BB26E66" w14:textId="77777777">
        <w:tc>
          <w:tcPr>
            <w:tcW w:w="6331" w:type="dxa"/>
          </w:tcPr>
          <w:p w14:paraId="0000000B" w14:textId="77777777" w:rsidR="00535740" w:rsidRPr="00070A11" w:rsidRDefault="00000000">
            <w:pPr>
              <w:pStyle w:val="Title"/>
              <w:keepLines/>
              <w:widowControl/>
              <w:spacing w:before="120"/>
              <w:ind w:left="0"/>
              <w:jc w:val="left"/>
              <w:rPr>
                <w:sz w:val="20"/>
                <w:szCs w:val="20"/>
              </w:rPr>
            </w:pPr>
            <w:r w:rsidRPr="00070A11">
              <w:rPr>
                <w:sz w:val="20"/>
                <w:szCs w:val="20"/>
              </w:rPr>
              <w:t>Reliability and resiliency</w:t>
            </w:r>
          </w:p>
        </w:tc>
        <w:tc>
          <w:tcPr>
            <w:tcW w:w="6629" w:type="dxa"/>
          </w:tcPr>
          <w:p w14:paraId="0000000C" w14:textId="77777777" w:rsidR="00535740" w:rsidRPr="00070A11" w:rsidRDefault="00000000">
            <w:pPr>
              <w:pStyle w:val="Title"/>
              <w:keepLines/>
              <w:widowControl/>
              <w:spacing w:before="120"/>
              <w:ind w:left="0"/>
              <w:jc w:val="left"/>
              <w:rPr>
                <w:sz w:val="20"/>
                <w:szCs w:val="20"/>
              </w:rPr>
            </w:pPr>
            <w:r w:rsidRPr="00070A11">
              <w:rPr>
                <w:sz w:val="20"/>
                <w:szCs w:val="20"/>
              </w:rPr>
              <w:t>Affordability for customers</w:t>
            </w:r>
          </w:p>
        </w:tc>
      </w:tr>
      <w:tr w:rsidR="00535740" w14:paraId="37422628" w14:textId="77777777">
        <w:tc>
          <w:tcPr>
            <w:tcW w:w="6331" w:type="dxa"/>
          </w:tcPr>
          <w:p w14:paraId="0000000D" w14:textId="77777777" w:rsidR="00535740" w:rsidRPr="00070A11" w:rsidRDefault="00000000">
            <w:pPr>
              <w:pStyle w:val="Title"/>
              <w:keepLines/>
              <w:widowControl/>
              <w:spacing w:before="120"/>
              <w:ind w:left="0"/>
              <w:jc w:val="left"/>
              <w:rPr>
                <w:sz w:val="20"/>
                <w:szCs w:val="20"/>
              </w:rPr>
            </w:pPr>
            <w:r w:rsidRPr="00070A11">
              <w:rPr>
                <w:sz w:val="20"/>
                <w:szCs w:val="20"/>
              </w:rPr>
              <w:t>Emergency response and safety</w:t>
            </w:r>
          </w:p>
        </w:tc>
        <w:tc>
          <w:tcPr>
            <w:tcW w:w="6629" w:type="dxa"/>
          </w:tcPr>
          <w:p w14:paraId="0000000E" w14:textId="77777777" w:rsidR="00535740" w:rsidRPr="00070A11" w:rsidRDefault="00000000">
            <w:pPr>
              <w:pStyle w:val="Title"/>
              <w:keepLines/>
              <w:widowControl/>
              <w:spacing w:before="120"/>
              <w:ind w:left="0"/>
              <w:jc w:val="left"/>
              <w:rPr>
                <w:sz w:val="20"/>
                <w:szCs w:val="20"/>
              </w:rPr>
            </w:pPr>
            <w:r w:rsidRPr="00070A11">
              <w:rPr>
                <w:sz w:val="20"/>
                <w:szCs w:val="20"/>
              </w:rPr>
              <w:t>Cost-efficient utility investments and operations</w:t>
            </w:r>
          </w:p>
        </w:tc>
      </w:tr>
      <w:tr w:rsidR="00535740" w14:paraId="7FBEA3F8" w14:textId="77777777">
        <w:tc>
          <w:tcPr>
            <w:tcW w:w="6331" w:type="dxa"/>
          </w:tcPr>
          <w:p w14:paraId="0000000F" w14:textId="77777777" w:rsidR="00535740" w:rsidRPr="00070A11" w:rsidRDefault="00000000">
            <w:pPr>
              <w:pStyle w:val="Title"/>
              <w:keepLines/>
              <w:widowControl/>
              <w:spacing w:before="120"/>
              <w:ind w:left="0"/>
              <w:jc w:val="left"/>
              <w:rPr>
                <w:sz w:val="20"/>
                <w:szCs w:val="20"/>
              </w:rPr>
            </w:pPr>
            <w:r w:rsidRPr="00070A11">
              <w:rPr>
                <w:sz w:val="20"/>
                <w:szCs w:val="20"/>
              </w:rPr>
              <w:t>Peak demand reductions</w:t>
            </w:r>
          </w:p>
        </w:tc>
        <w:tc>
          <w:tcPr>
            <w:tcW w:w="6629" w:type="dxa"/>
          </w:tcPr>
          <w:p w14:paraId="00000010" w14:textId="77777777" w:rsidR="00535740" w:rsidRPr="00070A11" w:rsidRDefault="00000000">
            <w:pPr>
              <w:pStyle w:val="Title"/>
              <w:keepLines/>
              <w:widowControl/>
              <w:spacing w:before="120"/>
              <w:ind w:left="0"/>
              <w:jc w:val="left"/>
              <w:rPr>
                <w:sz w:val="20"/>
                <w:szCs w:val="20"/>
              </w:rPr>
            </w:pPr>
            <w:r w:rsidRPr="00070A11">
              <w:rPr>
                <w:sz w:val="20"/>
                <w:szCs w:val="20"/>
              </w:rPr>
              <w:t>Maximization of available federal funding</w:t>
            </w:r>
          </w:p>
        </w:tc>
      </w:tr>
      <w:tr w:rsidR="00535740" w14:paraId="4FA56052" w14:textId="77777777">
        <w:tc>
          <w:tcPr>
            <w:tcW w:w="6331" w:type="dxa"/>
          </w:tcPr>
          <w:p w14:paraId="00000011" w14:textId="77777777" w:rsidR="00535740" w:rsidRPr="00070A11" w:rsidRDefault="00000000">
            <w:pPr>
              <w:pStyle w:val="Title"/>
              <w:keepLines/>
              <w:widowControl/>
              <w:spacing w:before="120"/>
              <w:ind w:left="0"/>
              <w:jc w:val="left"/>
              <w:rPr>
                <w:sz w:val="20"/>
                <w:szCs w:val="20"/>
              </w:rPr>
            </w:pPr>
            <w:r w:rsidRPr="00070A11">
              <w:rPr>
                <w:sz w:val="20"/>
                <w:szCs w:val="20"/>
              </w:rPr>
              <w:t>Cyber and physical security of the grid</w:t>
            </w:r>
          </w:p>
        </w:tc>
        <w:tc>
          <w:tcPr>
            <w:tcW w:w="6629" w:type="dxa"/>
          </w:tcPr>
          <w:p w14:paraId="00000012" w14:textId="77777777" w:rsidR="00535740" w:rsidRPr="00070A11" w:rsidRDefault="00000000">
            <w:pPr>
              <w:pStyle w:val="Title"/>
              <w:keepLines/>
              <w:widowControl/>
              <w:spacing w:before="120"/>
              <w:ind w:left="0"/>
              <w:jc w:val="left"/>
              <w:rPr>
                <w:sz w:val="20"/>
                <w:szCs w:val="20"/>
              </w:rPr>
            </w:pPr>
            <w:r w:rsidRPr="00070A11">
              <w:rPr>
                <w:sz w:val="20"/>
                <w:szCs w:val="20"/>
              </w:rPr>
              <w:t>Savings maximization from energy efficiency and exceedance of statutorily required savings levels</w:t>
            </w:r>
          </w:p>
        </w:tc>
      </w:tr>
      <w:tr w:rsidR="00535740" w14:paraId="166D141D" w14:textId="77777777">
        <w:tc>
          <w:tcPr>
            <w:tcW w:w="6331" w:type="dxa"/>
          </w:tcPr>
          <w:p w14:paraId="00000013" w14:textId="77777777" w:rsidR="00535740" w:rsidRDefault="00000000">
            <w:pPr>
              <w:pStyle w:val="Title"/>
              <w:keepLines/>
              <w:widowControl/>
              <w:spacing w:before="120"/>
              <w:ind w:left="0"/>
              <w:jc w:val="left"/>
              <w:rPr>
                <w:sz w:val="20"/>
                <w:szCs w:val="20"/>
              </w:rPr>
            </w:pPr>
            <w:r>
              <w:rPr>
                <w:sz w:val="20"/>
                <w:szCs w:val="20"/>
              </w:rPr>
              <w:t>Annual and monthly generation and resource needs in addition to hourly generation and resource needs on the 10 hottest and coldest days of the year</w:t>
            </w:r>
          </w:p>
        </w:tc>
        <w:tc>
          <w:tcPr>
            <w:tcW w:w="6629" w:type="dxa"/>
          </w:tcPr>
          <w:p w14:paraId="00000014" w14:textId="77777777" w:rsidR="00535740" w:rsidRDefault="00000000">
            <w:pPr>
              <w:pStyle w:val="Title"/>
              <w:keepLines/>
              <w:widowControl/>
              <w:spacing w:before="120"/>
              <w:ind w:left="0"/>
              <w:jc w:val="left"/>
              <w:rPr>
                <w:sz w:val="20"/>
                <w:szCs w:val="20"/>
              </w:rPr>
            </w:pPr>
            <w:r>
              <w:rPr>
                <w:sz w:val="20"/>
                <w:szCs w:val="20"/>
              </w:rPr>
              <w:t>DER integration and speed of interconnection</w:t>
            </w:r>
          </w:p>
        </w:tc>
      </w:tr>
      <w:tr w:rsidR="00535740" w14:paraId="71A96CB5" w14:textId="77777777">
        <w:tc>
          <w:tcPr>
            <w:tcW w:w="6331" w:type="dxa"/>
          </w:tcPr>
          <w:p w14:paraId="00000015" w14:textId="77777777" w:rsidR="00535740" w:rsidRDefault="00000000">
            <w:pPr>
              <w:pStyle w:val="Title"/>
              <w:keepLines/>
              <w:widowControl/>
              <w:spacing w:before="120"/>
              <w:ind w:left="0"/>
              <w:jc w:val="left"/>
              <w:rPr>
                <w:sz w:val="20"/>
                <w:szCs w:val="20"/>
              </w:rPr>
            </w:pPr>
            <w:r>
              <w:rPr>
                <w:sz w:val="20"/>
                <w:szCs w:val="20"/>
              </w:rPr>
              <w:t>Customer service</w:t>
            </w:r>
          </w:p>
        </w:tc>
        <w:tc>
          <w:tcPr>
            <w:tcW w:w="6629" w:type="dxa"/>
          </w:tcPr>
          <w:p w14:paraId="00000016" w14:textId="77777777" w:rsidR="00535740" w:rsidRDefault="00000000">
            <w:pPr>
              <w:pStyle w:val="Title"/>
              <w:keepLines/>
              <w:widowControl/>
              <w:spacing w:before="120"/>
              <w:ind w:left="0"/>
              <w:jc w:val="left"/>
              <w:rPr>
                <w:sz w:val="20"/>
                <w:szCs w:val="20"/>
              </w:rPr>
            </w:pPr>
            <w:r>
              <w:rPr>
                <w:sz w:val="20"/>
                <w:szCs w:val="20"/>
              </w:rPr>
              <w:t>Beneficial electrification</w:t>
            </w:r>
          </w:p>
        </w:tc>
      </w:tr>
      <w:tr w:rsidR="00535740" w14:paraId="0BBC433C" w14:textId="77777777">
        <w:tc>
          <w:tcPr>
            <w:tcW w:w="6331" w:type="dxa"/>
          </w:tcPr>
          <w:p w14:paraId="00000017" w14:textId="77777777" w:rsidR="00535740" w:rsidRDefault="00000000">
            <w:pPr>
              <w:pStyle w:val="Title"/>
              <w:keepLines/>
              <w:widowControl/>
              <w:spacing w:before="120"/>
              <w:ind w:left="0"/>
              <w:jc w:val="left"/>
              <w:rPr>
                <w:sz w:val="20"/>
                <w:szCs w:val="20"/>
              </w:rPr>
            </w:pPr>
            <w:r>
              <w:rPr>
                <w:sz w:val="20"/>
                <w:szCs w:val="20"/>
              </w:rPr>
              <w:t>Environmental justice and equity</w:t>
            </w:r>
          </w:p>
        </w:tc>
        <w:tc>
          <w:tcPr>
            <w:tcW w:w="6629" w:type="dxa"/>
          </w:tcPr>
          <w:p w14:paraId="00000018" w14:textId="77777777" w:rsidR="00535740" w:rsidRDefault="00000000">
            <w:pPr>
              <w:pStyle w:val="Title"/>
              <w:keepLines/>
              <w:widowControl/>
              <w:spacing w:before="120"/>
              <w:ind w:left="0"/>
              <w:jc w:val="left"/>
              <w:rPr>
                <w:sz w:val="20"/>
                <w:szCs w:val="20"/>
              </w:rPr>
            </w:pPr>
            <w:r>
              <w:rPr>
                <w:sz w:val="20"/>
                <w:szCs w:val="20"/>
              </w:rPr>
              <w:t>Electricity decarbonization</w:t>
            </w:r>
          </w:p>
        </w:tc>
      </w:tr>
    </w:tbl>
    <w:p w14:paraId="00000019" w14:textId="77777777" w:rsidR="00535740" w:rsidRDefault="00535740">
      <w:pPr>
        <w:pStyle w:val="Title"/>
        <w:keepLines/>
        <w:widowControl/>
        <w:spacing w:before="120"/>
        <w:ind w:left="720"/>
        <w:jc w:val="left"/>
        <w:rPr>
          <w:sz w:val="22"/>
          <w:szCs w:val="22"/>
        </w:rPr>
      </w:pPr>
    </w:p>
    <w:p w14:paraId="0000001A" w14:textId="77777777" w:rsidR="00535740" w:rsidRDefault="00000000">
      <w:pPr>
        <w:pStyle w:val="Title"/>
        <w:keepLines/>
        <w:spacing w:before="120"/>
        <w:ind w:left="180"/>
        <w:jc w:val="left"/>
        <w:rPr>
          <w:i/>
          <w:sz w:val="22"/>
          <w:szCs w:val="22"/>
        </w:rPr>
      </w:pPr>
      <w:r>
        <w:rPr>
          <w:b/>
          <w:sz w:val="22"/>
          <w:szCs w:val="22"/>
        </w:rPr>
        <w:t>Regulatory Assessment</w:t>
      </w:r>
    </w:p>
    <w:tbl>
      <w:tblPr>
        <w:tblStyle w:val="a0"/>
        <w:tblW w:w="1327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1695"/>
        <w:gridCol w:w="630"/>
        <w:gridCol w:w="450"/>
        <w:gridCol w:w="3840"/>
        <w:gridCol w:w="4710"/>
      </w:tblGrid>
      <w:tr w:rsidR="00535740" w14:paraId="506C026D" w14:textId="77777777">
        <w:trPr>
          <w:trHeight w:val="563"/>
        </w:trPr>
        <w:tc>
          <w:tcPr>
            <w:tcW w:w="1950" w:type="dxa"/>
            <w:shd w:val="clear" w:color="auto" w:fill="3B7E32"/>
            <w:vAlign w:val="center"/>
          </w:tcPr>
          <w:p w14:paraId="0000001B" w14:textId="77777777" w:rsidR="00535740" w:rsidRDefault="00000000">
            <w:pPr>
              <w:keepLines/>
              <w:widowControl/>
              <w:pBdr>
                <w:top w:val="nil"/>
                <w:left w:val="nil"/>
                <w:bottom w:val="nil"/>
                <w:right w:val="nil"/>
                <w:between w:val="nil"/>
              </w:pBdr>
              <w:spacing w:line="232" w:lineRule="auto"/>
              <w:ind w:left="110" w:right="203"/>
              <w:jc w:val="center"/>
              <w:rPr>
                <w:b/>
                <w:color w:val="000000"/>
                <w:sz w:val="24"/>
                <w:szCs w:val="24"/>
              </w:rPr>
            </w:pPr>
            <w:r>
              <w:rPr>
                <w:b/>
                <w:color w:val="FFFFFF"/>
                <w:sz w:val="24"/>
                <w:szCs w:val="24"/>
              </w:rPr>
              <w:t>Outcome</w:t>
            </w:r>
          </w:p>
        </w:tc>
        <w:tc>
          <w:tcPr>
            <w:tcW w:w="2325" w:type="dxa"/>
            <w:gridSpan w:val="2"/>
            <w:shd w:val="clear" w:color="auto" w:fill="auto"/>
          </w:tcPr>
          <w:p w14:paraId="0000001C" w14:textId="77777777" w:rsidR="00535740" w:rsidRDefault="00000000">
            <w:pPr>
              <w:keepLines/>
              <w:widowControl/>
              <w:pBdr>
                <w:top w:val="nil"/>
                <w:left w:val="nil"/>
                <w:bottom w:val="nil"/>
                <w:right w:val="nil"/>
                <w:between w:val="nil"/>
              </w:pBdr>
              <w:spacing w:line="223" w:lineRule="auto"/>
              <w:ind w:left="110"/>
              <w:rPr>
                <w:i/>
                <w:color w:val="000000"/>
                <w:sz w:val="18"/>
                <w:szCs w:val="18"/>
              </w:rPr>
            </w:pPr>
            <w:r>
              <w:rPr>
                <w:color w:val="000000"/>
                <w:sz w:val="18"/>
                <w:szCs w:val="18"/>
              </w:rPr>
              <w:t xml:space="preserve">What regulatory </w:t>
            </w:r>
            <w:r>
              <w:rPr>
                <w:i/>
                <w:color w:val="000000"/>
                <w:sz w:val="18"/>
                <w:szCs w:val="18"/>
              </w:rPr>
              <w:t xml:space="preserve">outcome </w:t>
            </w:r>
            <w:r>
              <w:rPr>
                <w:color w:val="000000"/>
                <w:sz w:val="18"/>
                <w:szCs w:val="18"/>
              </w:rPr>
              <w:t xml:space="preserve">or </w:t>
            </w:r>
            <w:r>
              <w:rPr>
                <w:i/>
                <w:color w:val="000000"/>
                <w:sz w:val="18"/>
                <w:szCs w:val="18"/>
              </w:rPr>
              <w:t xml:space="preserve">performance area </w:t>
            </w:r>
            <w:r>
              <w:rPr>
                <w:color w:val="000000"/>
                <w:sz w:val="18"/>
                <w:szCs w:val="18"/>
              </w:rPr>
              <w:t>does this assessment consider?</w:t>
            </w:r>
          </w:p>
        </w:tc>
        <w:tc>
          <w:tcPr>
            <w:tcW w:w="9000" w:type="dxa"/>
            <w:gridSpan w:val="3"/>
            <w:shd w:val="clear" w:color="auto" w:fill="auto"/>
          </w:tcPr>
          <w:p w14:paraId="0000001E" w14:textId="5DDE3D11" w:rsidR="00535740" w:rsidRDefault="00070A11">
            <w:pPr>
              <w:keepLines/>
              <w:widowControl/>
              <w:pBdr>
                <w:top w:val="nil"/>
                <w:left w:val="nil"/>
                <w:bottom w:val="nil"/>
                <w:right w:val="nil"/>
                <w:between w:val="nil"/>
              </w:pBdr>
              <w:spacing w:line="223" w:lineRule="auto"/>
              <w:ind w:left="110"/>
              <w:rPr>
                <w:b/>
                <w:color w:val="000000"/>
                <w:sz w:val="18"/>
                <w:szCs w:val="18"/>
              </w:rPr>
            </w:pPr>
            <w:r>
              <w:rPr>
                <w:b/>
                <w:color w:val="000000"/>
                <w:sz w:val="18"/>
                <w:szCs w:val="18"/>
              </w:rPr>
              <w:t>Peak demand reductions + Savings maximization from energy efficiency and exceedance of statutorily required savings levels</w:t>
            </w:r>
          </w:p>
          <w:p w14:paraId="04A791D2" w14:textId="2E0E31E4" w:rsidR="00E62FEA" w:rsidRPr="00E62FEA" w:rsidRDefault="00E62FEA" w:rsidP="00E62FEA">
            <w:pPr>
              <w:keepLines/>
              <w:pBdr>
                <w:top w:val="nil"/>
                <w:left w:val="nil"/>
                <w:bottom w:val="nil"/>
                <w:right w:val="nil"/>
                <w:between w:val="nil"/>
              </w:pBdr>
              <w:spacing w:line="223" w:lineRule="auto"/>
              <w:rPr>
                <w:color w:val="000000"/>
                <w:sz w:val="18"/>
                <w:szCs w:val="18"/>
              </w:rPr>
            </w:pPr>
            <w:r>
              <w:rPr>
                <w:color w:val="000000"/>
                <w:sz w:val="18"/>
                <w:szCs w:val="18"/>
              </w:rPr>
              <w:t>Performance based regulation can help to</w:t>
            </w:r>
            <w:r w:rsidR="00734873">
              <w:rPr>
                <w:color w:val="000000"/>
                <w:sz w:val="18"/>
                <w:szCs w:val="18"/>
              </w:rPr>
              <w:t xml:space="preserve"> </w:t>
            </w:r>
            <w:r w:rsidRPr="00E62FEA">
              <w:rPr>
                <w:color w:val="000000"/>
                <w:sz w:val="18"/>
                <w:szCs w:val="18"/>
              </w:rPr>
              <w:t>further align the financial incentives of investor-owned utilities</w:t>
            </w:r>
          </w:p>
          <w:p w14:paraId="0000001F" w14:textId="17E401CB" w:rsidR="00535740" w:rsidRDefault="00E62FEA" w:rsidP="00E62FEA">
            <w:pPr>
              <w:keepLines/>
              <w:pBdr>
                <w:top w:val="nil"/>
                <w:left w:val="nil"/>
                <w:bottom w:val="nil"/>
                <w:right w:val="nil"/>
                <w:between w:val="nil"/>
              </w:pBdr>
              <w:spacing w:line="223" w:lineRule="auto"/>
              <w:rPr>
                <w:color w:val="000000"/>
                <w:sz w:val="18"/>
                <w:szCs w:val="18"/>
              </w:rPr>
            </w:pPr>
            <w:r w:rsidRPr="00E62FEA">
              <w:rPr>
                <w:color w:val="000000"/>
                <w:sz w:val="18"/>
                <w:szCs w:val="18"/>
              </w:rPr>
              <w:t>with public interest goals</w:t>
            </w:r>
            <w:r w:rsidR="00734873">
              <w:rPr>
                <w:color w:val="000000"/>
                <w:sz w:val="18"/>
                <w:szCs w:val="18"/>
              </w:rPr>
              <w:t>, including achievement of peak demand reduction and increasing energy efficiency savings.</w:t>
            </w:r>
            <w:r>
              <w:rPr>
                <w:color w:val="000000"/>
                <w:sz w:val="18"/>
                <w:szCs w:val="18"/>
              </w:rPr>
              <w:t xml:space="preserve"> </w:t>
            </w:r>
            <w:r w:rsidR="00734873">
              <w:rPr>
                <w:color w:val="000000"/>
                <w:sz w:val="18"/>
                <w:szCs w:val="18"/>
              </w:rPr>
              <w:t xml:space="preserve"> </w:t>
            </w:r>
          </w:p>
          <w:p w14:paraId="00000020" w14:textId="77777777" w:rsidR="00535740" w:rsidRDefault="00535740">
            <w:pPr>
              <w:keepLines/>
              <w:widowControl/>
              <w:pBdr>
                <w:top w:val="nil"/>
                <w:left w:val="nil"/>
                <w:bottom w:val="nil"/>
                <w:right w:val="nil"/>
                <w:between w:val="nil"/>
              </w:pBdr>
              <w:spacing w:line="223" w:lineRule="auto"/>
              <w:ind w:left="110"/>
              <w:rPr>
                <w:b/>
                <w:color w:val="000000"/>
                <w:sz w:val="18"/>
                <w:szCs w:val="18"/>
              </w:rPr>
            </w:pPr>
          </w:p>
        </w:tc>
      </w:tr>
      <w:tr w:rsidR="00535740" w14:paraId="5AA60130" w14:textId="77777777">
        <w:tc>
          <w:tcPr>
            <w:tcW w:w="13275" w:type="dxa"/>
            <w:gridSpan w:val="6"/>
            <w:shd w:val="clear" w:color="auto" w:fill="3B7E32"/>
          </w:tcPr>
          <w:p w14:paraId="00000023" w14:textId="77777777" w:rsidR="00535740" w:rsidRDefault="00000000">
            <w:pPr>
              <w:keepLines/>
              <w:widowControl/>
              <w:pBdr>
                <w:top w:val="nil"/>
                <w:left w:val="nil"/>
                <w:bottom w:val="nil"/>
                <w:right w:val="nil"/>
                <w:between w:val="nil"/>
              </w:pBdr>
              <w:spacing w:line="223" w:lineRule="auto"/>
              <w:ind w:left="110"/>
              <w:rPr>
                <w:b/>
                <w:color w:val="000000"/>
                <w:sz w:val="18"/>
                <w:szCs w:val="18"/>
              </w:rPr>
            </w:pPr>
            <w:r>
              <w:rPr>
                <w:b/>
                <w:color w:val="FFFFFF"/>
                <w:sz w:val="18"/>
                <w:szCs w:val="18"/>
              </w:rPr>
              <w:t>Do the existing regulatory mechanisms and programs sufficiently support the outcome?</w:t>
            </w:r>
          </w:p>
        </w:tc>
      </w:tr>
      <w:tr w:rsidR="00535740" w14:paraId="2D88765D" w14:textId="77777777">
        <w:tc>
          <w:tcPr>
            <w:tcW w:w="1950" w:type="dxa"/>
          </w:tcPr>
          <w:p w14:paraId="00000029" w14:textId="77777777" w:rsidR="00535740" w:rsidRDefault="00000000">
            <w:pPr>
              <w:keepLines/>
              <w:widowControl/>
              <w:pBdr>
                <w:top w:val="nil"/>
                <w:left w:val="nil"/>
                <w:bottom w:val="nil"/>
                <w:right w:val="nil"/>
                <w:between w:val="nil"/>
              </w:pBdr>
              <w:spacing w:line="222" w:lineRule="auto"/>
              <w:ind w:left="16" w:right="2"/>
              <w:jc w:val="center"/>
              <w:rPr>
                <w:b/>
                <w:color w:val="000000"/>
                <w:sz w:val="18"/>
                <w:szCs w:val="18"/>
              </w:rPr>
            </w:pPr>
            <w:r>
              <w:rPr>
                <w:b/>
                <w:color w:val="000000"/>
                <w:sz w:val="18"/>
                <w:szCs w:val="18"/>
              </w:rPr>
              <w:t>Key</w:t>
            </w:r>
          </w:p>
        </w:tc>
        <w:tc>
          <w:tcPr>
            <w:tcW w:w="11325" w:type="dxa"/>
            <w:gridSpan w:val="5"/>
          </w:tcPr>
          <w:p w14:paraId="0000002A" w14:textId="77777777" w:rsidR="00535740" w:rsidRDefault="00535740">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r>
      <w:tr w:rsidR="00535740" w14:paraId="6731A526" w14:textId="77777777" w:rsidTr="00BB2736">
        <w:tc>
          <w:tcPr>
            <w:tcW w:w="1950" w:type="dxa"/>
          </w:tcPr>
          <w:p w14:paraId="0000002F" w14:textId="77777777" w:rsidR="00535740" w:rsidRDefault="00000000">
            <w:pPr>
              <w:keepLines/>
              <w:widowControl/>
              <w:pBdr>
                <w:top w:val="nil"/>
                <w:left w:val="nil"/>
                <w:bottom w:val="nil"/>
                <w:right w:val="nil"/>
                <w:between w:val="nil"/>
              </w:pBdr>
              <w:spacing w:line="222" w:lineRule="auto"/>
              <w:ind w:left="16"/>
              <w:jc w:val="center"/>
              <w:rPr>
                <w:b/>
                <w:color w:val="000000"/>
                <w:sz w:val="18"/>
                <w:szCs w:val="18"/>
              </w:rPr>
            </w:pPr>
            <w:r>
              <w:rPr>
                <w:b/>
                <w:color w:val="000000"/>
                <w:sz w:val="18"/>
                <w:szCs w:val="18"/>
              </w:rPr>
              <w:t>+</w:t>
            </w:r>
          </w:p>
        </w:tc>
        <w:tc>
          <w:tcPr>
            <w:tcW w:w="1695" w:type="dxa"/>
          </w:tcPr>
          <w:p w14:paraId="00000030" w14:textId="77777777" w:rsidR="00535740" w:rsidRDefault="00000000">
            <w:pPr>
              <w:keepLines/>
              <w:widowControl/>
              <w:pBdr>
                <w:top w:val="nil"/>
                <w:left w:val="nil"/>
                <w:bottom w:val="nil"/>
                <w:right w:val="nil"/>
                <w:between w:val="nil"/>
              </w:pBdr>
              <w:spacing w:line="222" w:lineRule="auto"/>
              <w:ind w:left="3" w:right="3"/>
              <w:jc w:val="center"/>
              <w:rPr>
                <w:b/>
                <w:color w:val="000000"/>
                <w:sz w:val="18"/>
                <w:szCs w:val="18"/>
              </w:rPr>
            </w:pPr>
            <w:r>
              <w:rPr>
                <w:b/>
                <w:color w:val="000000"/>
                <w:sz w:val="18"/>
                <w:szCs w:val="18"/>
              </w:rPr>
              <w:t>Yes</w:t>
            </w:r>
          </w:p>
        </w:tc>
        <w:tc>
          <w:tcPr>
            <w:tcW w:w="9630" w:type="dxa"/>
            <w:gridSpan w:val="4"/>
          </w:tcPr>
          <w:p w14:paraId="00000031" w14:textId="77777777" w:rsidR="00535740" w:rsidRDefault="00000000">
            <w:pPr>
              <w:keepLines/>
              <w:widowControl/>
              <w:pBdr>
                <w:top w:val="nil"/>
                <w:left w:val="nil"/>
                <w:bottom w:val="nil"/>
                <w:right w:val="nil"/>
                <w:between w:val="nil"/>
              </w:pBdr>
              <w:spacing w:line="222" w:lineRule="auto"/>
              <w:ind w:left="103"/>
              <w:rPr>
                <w:color w:val="000000"/>
                <w:sz w:val="18"/>
                <w:szCs w:val="18"/>
              </w:rPr>
            </w:pPr>
            <w:r>
              <w:rPr>
                <w:color w:val="000000"/>
                <w:sz w:val="18"/>
                <w:szCs w:val="18"/>
              </w:rPr>
              <w:t xml:space="preserve">The mechanism or program </w:t>
            </w:r>
            <w:r>
              <w:rPr>
                <w:b/>
                <w:color w:val="000000"/>
                <w:sz w:val="18"/>
                <w:szCs w:val="18"/>
              </w:rPr>
              <w:t xml:space="preserve">incents achievement </w:t>
            </w:r>
            <w:r>
              <w:rPr>
                <w:color w:val="000000"/>
                <w:sz w:val="18"/>
                <w:szCs w:val="18"/>
              </w:rPr>
              <w:t>of this outcome.</w:t>
            </w:r>
          </w:p>
        </w:tc>
      </w:tr>
      <w:tr w:rsidR="00535740" w14:paraId="76999B10" w14:textId="77777777" w:rsidTr="00BB2736">
        <w:tc>
          <w:tcPr>
            <w:tcW w:w="1950" w:type="dxa"/>
          </w:tcPr>
          <w:p w14:paraId="00000035" w14:textId="77777777" w:rsidR="00535740" w:rsidRDefault="00000000">
            <w:pPr>
              <w:keepLines/>
              <w:widowControl/>
              <w:pBdr>
                <w:top w:val="nil"/>
                <w:left w:val="nil"/>
                <w:bottom w:val="nil"/>
                <w:right w:val="nil"/>
                <w:between w:val="nil"/>
              </w:pBdr>
              <w:spacing w:line="222" w:lineRule="auto"/>
              <w:ind w:left="16" w:right="5"/>
              <w:jc w:val="center"/>
              <w:rPr>
                <w:b/>
                <w:color w:val="000000"/>
                <w:sz w:val="18"/>
                <w:szCs w:val="18"/>
              </w:rPr>
            </w:pPr>
            <w:r>
              <w:rPr>
                <w:b/>
                <w:color w:val="000000"/>
                <w:sz w:val="18"/>
                <w:szCs w:val="18"/>
              </w:rPr>
              <w:t>0</w:t>
            </w:r>
          </w:p>
        </w:tc>
        <w:tc>
          <w:tcPr>
            <w:tcW w:w="1695" w:type="dxa"/>
          </w:tcPr>
          <w:p w14:paraId="00000036" w14:textId="77777777" w:rsidR="00535740" w:rsidRDefault="00000000">
            <w:pPr>
              <w:keepLines/>
              <w:widowControl/>
              <w:pBdr>
                <w:top w:val="nil"/>
                <w:left w:val="nil"/>
                <w:bottom w:val="nil"/>
                <w:right w:val="nil"/>
                <w:between w:val="nil"/>
              </w:pBdr>
              <w:spacing w:line="222" w:lineRule="auto"/>
              <w:ind w:left="1" w:right="4"/>
              <w:jc w:val="center"/>
              <w:rPr>
                <w:b/>
                <w:color w:val="000000"/>
                <w:sz w:val="18"/>
                <w:szCs w:val="18"/>
              </w:rPr>
            </w:pPr>
            <w:r>
              <w:rPr>
                <w:b/>
                <w:color w:val="000000"/>
                <w:sz w:val="18"/>
                <w:szCs w:val="18"/>
              </w:rPr>
              <w:t>No Impact</w:t>
            </w:r>
          </w:p>
        </w:tc>
        <w:tc>
          <w:tcPr>
            <w:tcW w:w="9630" w:type="dxa"/>
            <w:gridSpan w:val="4"/>
          </w:tcPr>
          <w:p w14:paraId="00000037" w14:textId="77777777" w:rsidR="00535740" w:rsidRDefault="00000000">
            <w:pPr>
              <w:keepLines/>
              <w:widowControl/>
              <w:pBdr>
                <w:top w:val="nil"/>
                <w:left w:val="nil"/>
                <w:bottom w:val="nil"/>
                <w:right w:val="nil"/>
                <w:between w:val="nil"/>
              </w:pBdr>
              <w:spacing w:line="222" w:lineRule="auto"/>
              <w:ind w:left="103"/>
              <w:rPr>
                <w:color w:val="000000"/>
                <w:sz w:val="18"/>
                <w:szCs w:val="18"/>
              </w:rPr>
            </w:pPr>
            <w:r>
              <w:rPr>
                <w:color w:val="000000"/>
                <w:sz w:val="18"/>
                <w:szCs w:val="18"/>
              </w:rPr>
              <w:t xml:space="preserve">The mechanism or program </w:t>
            </w:r>
            <w:r>
              <w:rPr>
                <w:b/>
                <w:color w:val="000000"/>
                <w:sz w:val="18"/>
                <w:szCs w:val="18"/>
              </w:rPr>
              <w:t xml:space="preserve">does not seem to impact the achievement </w:t>
            </w:r>
            <w:r>
              <w:rPr>
                <w:color w:val="000000"/>
                <w:sz w:val="18"/>
                <w:szCs w:val="18"/>
              </w:rPr>
              <w:t>of this outcome.</w:t>
            </w:r>
          </w:p>
        </w:tc>
      </w:tr>
      <w:tr w:rsidR="00535740" w14:paraId="7DDEA31A" w14:textId="77777777" w:rsidTr="00BB2736">
        <w:tc>
          <w:tcPr>
            <w:tcW w:w="1950" w:type="dxa"/>
          </w:tcPr>
          <w:p w14:paraId="0000003B" w14:textId="77777777" w:rsidR="00535740" w:rsidRDefault="00000000">
            <w:pPr>
              <w:keepLines/>
              <w:widowControl/>
              <w:pBdr>
                <w:top w:val="nil"/>
                <w:left w:val="nil"/>
                <w:bottom w:val="nil"/>
                <w:right w:val="nil"/>
                <w:between w:val="nil"/>
              </w:pBdr>
              <w:spacing w:line="223" w:lineRule="auto"/>
              <w:ind w:left="16"/>
              <w:jc w:val="center"/>
              <w:rPr>
                <w:b/>
                <w:color w:val="000000"/>
                <w:sz w:val="18"/>
                <w:szCs w:val="18"/>
              </w:rPr>
            </w:pPr>
            <w:r>
              <w:rPr>
                <w:b/>
                <w:color w:val="000000"/>
                <w:sz w:val="18"/>
                <w:szCs w:val="18"/>
              </w:rPr>
              <w:t>-</w:t>
            </w:r>
          </w:p>
        </w:tc>
        <w:tc>
          <w:tcPr>
            <w:tcW w:w="1695" w:type="dxa"/>
          </w:tcPr>
          <w:p w14:paraId="0000003C" w14:textId="77777777" w:rsidR="00535740" w:rsidRDefault="00000000">
            <w:pPr>
              <w:keepLines/>
              <w:widowControl/>
              <w:pBdr>
                <w:top w:val="nil"/>
                <w:left w:val="nil"/>
                <w:bottom w:val="nil"/>
                <w:right w:val="nil"/>
                <w:between w:val="nil"/>
              </w:pBdr>
              <w:spacing w:line="223" w:lineRule="auto"/>
              <w:ind w:left="4" w:right="3"/>
              <w:jc w:val="center"/>
              <w:rPr>
                <w:b/>
                <w:color w:val="000000"/>
                <w:sz w:val="18"/>
                <w:szCs w:val="18"/>
              </w:rPr>
            </w:pPr>
            <w:r>
              <w:rPr>
                <w:b/>
                <w:color w:val="000000"/>
                <w:sz w:val="18"/>
                <w:szCs w:val="18"/>
              </w:rPr>
              <w:t>No</w:t>
            </w:r>
          </w:p>
        </w:tc>
        <w:tc>
          <w:tcPr>
            <w:tcW w:w="9630" w:type="dxa"/>
            <w:gridSpan w:val="4"/>
          </w:tcPr>
          <w:p w14:paraId="0000003D" w14:textId="77777777" w:rsidR="00535740" w:rsidRDefault="00000000">
            <w:pPr>
              <w:keepLines/>
              <w:widowControl/>
              <w:pBdr>
                <w:top w:val="nil"/>
                <w:left w:val="nil"/>
                <w:bottom w:val="nil"/>
                <w:right w:val="nil"/>
                <w:between w:val="nil"/>
              </w:pBdr>
              <w:spacing w:line="223" w:lineRule="auto"/>
              <w:ind w:left="103"/>
              <w:rPr>
                <w:color w:val="000000"/>
                <w:sz w:val="18"/>
                <w:szCs w:val="18"/>
              </w:rPr>
            </w:pPr>
            <w:r>
              <w:rPr>
                <w:color w:val="000000"/>
                <w:sz w:val="18"/>
                <w:szCs w:val="18"/>
              </w:rPr>
              <w:t xml:space="preserve">The mechanism or program </w:t>
            </w:r>
            <w:r>
              <w:rPr>
                <w:b/>
                <w:color w:val="000000"/>
                <w:sz w:val="18"/>
                <w:szCs w:val="18"/>
              </w:rPr>
              <w:t xml:space="preserve">disincentivizes the achievement </w:t>
            </w:r>
            <w:r>
              <w:rPr>
                <w:color w:val="000000"/>
                <w:sz w:val="18"/>
                <w:szCs w:val="18"/>
              </w:rPr>
              <w:t>of this outcome.</w:t>
            </w:r>
          </w:p>
        </w:tc>
      </w:tr>
      <w:tr w:rsidR="00535740" w14:paraId="61242B08" w14:textId="77777777" w:rsidTr="00BB2736">
        <w:tc>
          <w:tcPr>
            <w:tcW w:w="1950" w:type="dxa"/>
            <w:vMerge w:val="restart"/>
            <w:shd w:val="clear" w:color="auto" w:fill="3B7E32"/>
            <w:vAlign w:val="center"/>
          </w:tcPr>
          <w:p w14:paraId="00000041" w14:textId="77777777" w:rsidR="00535740" w:rsidRDefault="00000000">
            <w:pPr>
              <w:keepLines/>
              <w:widowControl/>
              <w:pBdr>
                <w:top w:val="nil"/>
                <w:left w:val="nil"/>
                <w:bottom w:val="nil"/>
                <w:right w:val="nil"/>
                <w:between w:val="nil"/>
              </w:pBdr>
              <w:spacing w:line="232" w:lineRule="auto"/>
              <w:ind w:left="110" w:right="203"/>
              <w:rPr>
                <w:b/>
                <w:color w:val="000000"/>
                <w:sz w:val="18"/>
                <w:szCs w:val="18"/>
              </w:rPr>
            </w:pPr>
            <w:r>
              <w:rPr>
                <w:b/>
                <w:color w:val="FFFFFF"/>
                <w:sz w:val="18"/>
                <w:szCs w:val="18"/>
              </w:rPr>
              <w:lastRenderedPageBreak/>
              <w:t>Existing Regulatory Mechanisms and Programs</w:t>
            </w:r>
          </w:p>
        </w:tc>
        <w:tc>
          <w:tcPr>
            <w:tcW w:w="1695" w:type="dxa"/>
            <w:vMerge w:val="restart"/>
            <w:shd w:val="clear" w:color="auto" w:fill="3B7E32"/>
            <w:vAlign w:val="center"/>
          </w:tcPr>
          <w:p w14:paraId="00000042" w14:textId="77777777" w:rsidR="00535740" w:rsidRDefault="00000000">
            <w:pPr>
              <w:keepLines/>
              <w:widowControl/>
              <w:pBdr>
                <w:top w:val="nil"/>
                <w:left w:val="nil"/>
                <w:bottom w:val="nil"/>
                <w:right w:val="nil"/>
                <w:between w:val="nil"/>
              </w:pBdr>
              <w:ind w:left="555"/>
              <w:rPr>
                <w:b/>
                <w:color w:val="000000"/>
                <w:sz w:val="18"/>
                <w:szCs w:val="18"/>
              </w:rPr>
            </w:pPr>
            <w:r>
              <w:rPr>
                <w:b/>
                <w:color w:val="FFFFFF"/>
                <w:sz w:val="18"/>
                <w:szCs w:val="18"/>
              </w:rPr>
              <w:t>Description</w:t>
            </w:r>
          </w:p>
        </w:tc>
        <w:tc>
          <w:tcPr>
            <w:tcW w:w="4920" w:type="dxa"/>
            <w:gridSpan w:val="3"/>
            <w:shd w:val="clear" w:color="auto" w:fill="3B7E32"/>
          </w:tcPr>
          <w:p w14:paraId="00000043" w14:textId="77777777" w:rsidR="00535740" w:rsidRDefault="00000000">
            <w:pPr>
              <w:keepLines/>
              <w:widowControl/>
              <w:pBdr>
                <w:top w:val="nil"/>
                <w:left w:val="nil"/>
                <w:bottom w:val="nil"/>
                <w:right w:val="nil"/>
                <w:between w:val="nil"/>
              </w:pBdr>
              <w:spacing w:before="131" w:line="235" w:lineRule="auto"/>
              <w:ind w:right="527"/>
              <w:jc w:val="center"/>
              <w:rPr>
                <w:b/>
                <w:color w:val="000000"/>
                <w:sz w:val="18"/>
                <w:szCs w:val="18"/>
              </w:rPr>
            </w:pPr>
            <w:r>
              <w:rPr>
                <w:b/>
                <w:color w:val="FFFFFF"/>
                <w:sz w:val="18"/>
                <w:szCs w:val="18"/>
              </w:rPr>
              <w:t>Mechanism or Program’s Effect on Outcome</w:t>
            </w:r>
          </w:p>
        </w:tc>
        <w:tc>
          <w:tcPr>
            <w:tcW w:w="4710" w:type="dxa"/>
            <w:vMerge w:val="restart"/>
            <w:shd w:val="clear" w:color="auto" w:fill="3B7E32"/>
            <w:vAlign w:val="center"/>
          </w:tcPr>
          <w:p w14:paraId="00000046" w14:textId="77777777" w:rsidR="00535740" w:rsidRDefault="00000000">
            <w:pPr>
              <w:keepLines/>
              <w:widowControl/>
              <w:pBdr>
                <w:top w:val="nil"/>
                <w:left w:val="nil"/>
                <w:bottom w:val="nil"/>
                <w:right w:val="nil"/>
                <w:between w:val="nil"/>
              </w:pBdr>
              <w:ind w:left="1271"/>
              <w:rPr>
                <w:b/>
                <w:color w:val="000000"/>
                <w:sz w:val="18"/>
                <w:szCs w:val="18"/>
              </w:rPr>
            </w:pPr>
            <w:r>
              <w:rPr>
                <w:b/>
                <w:color w:val="FFFFFF"/>
                <w:sz w:val="18"/>
                <w:szCs w:val="18"/>
              </w:rPr>
              <w:t>Issues for Attention</w:t>
            </w:r>
          </w:p>
        </w:tc>
      </w:tr>
      <w:tr w:rsidR="00535740" w14:paraId="4393C539" w14:textId="77777777" w:rsidTr="00BB2736">
        <w:tc>
          <w:tcPr>
            <w:tcW w:w="1950" w:type="dxa"/>
            <w:vMerge/>
            <w:shd w:val="clear" w:color="auto" w:fill="3B7E32"/>
            <w:vAlign w:val="center"/>
          </w:tcPr>
          <w:p w14:paraId="00000047" w14:textId="77777777" w:rsidR="00535740" w:rsidRDefault="00535740">
            <w:pPr>
              <w:pBdr>
                <w:top w:val="nil"/>
                <w:left w:val="nil"/>
                <w:bottom w:val="nil"/>
                <w:right w:val="nil"/>
                <w:between w:val="nil"/>
              </w:pBdr>
              <w:spacing w:line="276" w:lineRule="auto"/>
              <w:rPr>
                <w:b/>
                <w:color w:val="000000"/>
                <w:sz w:val="18"/>
                <w:szCs w:val="18"/>
              </w:rPr>
            </w:pPr>
          </w:p>
        </w:tc>
        <w:tc>
          <w:tcPr>
            <w:tcW w:w="1695" w:type="dxa"/>
            <w:vMerge/>
            <w:shd w:val="clear" w:color="auto" w:fill="3B7E32"/>
            <w:vAlign w:val="center"/>
          </w:tcPr>
          <w:p w14:paraId="00000048" w14:textId="77777777" w:rsidR="00535740" w:rsidRDefault="00535740">
            <w:pPr>
              <w:pBdr>
                <w:top w:val="nil"/>
                <w:left w:val="nil"/>
                <w:bottom w:val="nil"/>
                <w:right w:val="nil"/>
                <w:between w:val="nil"/>
              </w:pBdr>
              <w:spacing w:line="276" w:lineRule="auto"/>
              <w:rPr>
                <w:b/>
                <w:color w:val="000000"/>
                <w:sz w:val="18"/>
                <w:szCs w:val="18"/>
              </w:rPr>
            </w:pPr>
          </w:p>
        </w:tc>
        <w:tc>
          <w:tcPr>
            <w:tcW w:w="1080" w:type="dxa"/>
            <w:gridSpan w:val="2"/>
            <w:shd w:val="clear" w:color="auto" w:fill="3B7E32"/>
          </w:tcPr>
          <w:p w14:paraId="00000049" w14:textId="77777777" w:rsidR="00535740" w:rsidRDefault="00000000">
            <w:pPr>
              <w:keepLines/>
              <w:widowControl/>
              <w:pBdr>
                <w:top w:val="nil"/>
                <w:left w:val="nil"/>
                <w:bottom w:val="nil"/>
                <w:right w:val="nil"/>
                <w:between w:val="nil"/>
              </w:pBdr>
              <w:spacing w:line="266" w:lineRule="auto"/>
              <w:ind w:left="208" w:right="199" w:hanging="5"/>
              <w:rPr>
                <w:b/>
                <w:color w:val="000000"/>
                <w:sz w:val="18"/>
                <w:szCs w:val="18"/>
              </w:rPr>
            </w:pPr>
            <w:r>
              <w:rPr>
                <w:b/>
                <w:color w:val="FFFFFF"/>
                <w:sz w:val="18"/>
                <w:szCs w:val="18"/>
              </w:rPr>
              <w:t>Score (+/0/-)</w:t>
            </w:r>
          </w:p>
        </w:tc>
        <w:tc>
          <w:tcPr>
            <w:tcW w:w="3840" w:type="dxa"/>
            <w:shd w:val="clear" w:color="auto" w:fill="3B7E32"/>
          </w:tcPr>
          <w:p w14:paraId="0000004B" w14:textId="77777777" w:rsidR="00535740" w:rsidRDefault="00000000">
            <w:pPr>
              <w:keepLines/>
              <w:widowControl/>
              <w:pBdr>
                <w:top w:val="nil"/>
                <w:left w:val="nil"/>
                <w:bottom w:val="nil"/>
                <w:right w:val="nil"/>
                <w:between w:val="nil"/>
              </w:pBdr>
              <w:spacing w:line="222" w:lineRule="auto"/>
              <w:ind w:right="2"/>
              <w:jc w:val="center"/>
              <w:rPr>
                <w:b/>
                <w:color w:val="000000"/>
                <w:sz w:val="18"/>
                <w:szCs w:val="18"/>
              </w:rPr>
            </w:pPr>
            <w:r>
              <w:rPr>
                <w:b/>
                <w:color w:val="FFFFFF"/>
                <w:sz w:val="18"/>
                <w:szCs w:val="18"/>
              </w:rPr>
              <w:t>Discussion</w:t>
            </w:r>
          </w:p>
        </w:tc>
        <w:tc>
          <w:tcPr>
            <w:tcW w:w="4710" w:type="dxa"/>
            <w:vMerge/>
            <w:shd w:val="clear" w:color="auto" w:fill="3B7E32"/>
            <w:vAlign w:val="center"/>
          </w:tcPr>
          <w:p w14:paraId="0000004C" w14:textId="77777777" w:rsidR="00535740" w:rsidRDefault="00535740">
            <w:pPr>
              <w:pBdr>
                <w:top w:val="nil"/>
                <w:left w:val="nil"/>
                <w:bottom w:val="nil"/>
                <w:right w:val="nil"/>
                <w:between w:val="nil"/>
              </w:pBdr>
              <w:spacing w:line="276" w:lineRule="auto"/>
              <w:rPr>
                <w:b/>
                <w:color w:val="000000"/>
                <w:sz w:val="18"/>
                <w:szCs w:val="18"/>
              </w:rPr>
            </w:pPr>
          </w:p>
        </w:tc>
      </w:tr>
      <w:tr w:rsidR="00CC7000" w14:paraId="1903CD36" w14:textId="77777777" w:rsidTr="00897374">
        <w:trPr>
          <w:trHeight w:val="4217"/>
        </w:trPr>
        <w:tc>
          <w:tcPr>
            <w:tcW w:w="1950" w:type="dxa"/>
            <w:vMerge w:val="restart"/>
            <w:vAlign w:val="center"/>
          </w:tcPr>
          <w:p w14:paraId="0000004D" w14:textId="45C65A17" w:rsidR="00CC7000" w:rsidRDefault="00CC7000" w:rsidP="008853CB">
            <w:pPr>
              <w:keepLines/>
              <w:widowControl/>
              <w:pBdr>
                <w:top w:val="nil"/>
                <w:left w:val="nil"/>
                <w:bottom w:val="nil"/>
                <w:right w:val="nil"/>
                <w:between w:val="nil"/>
              </w:pBdr>
              <w:spacing w:line="266" w:lineRule="auto"/>
              <w:ind w:left="60"/>
              <w:rPr>
                <w:b/>
                <w:color w:val="000000"/>
                <w:sz w:val="18"/>
                <w:szCs w:val="18"/>
              </w:rPr>
            </w:pPr>
            <w:r>
              <w:rPr>
                <w:b/>
                <w:color w:val="000000"/>
                <w:sz w:val="18"/>
                <w:szCs w:val="18"/>
              </w:rPr>
              <w:t>Rate Reviews (typically biennial)</w:t>
            </w:r>
          </w:p>
        </w:tc>
        <w:tc>
          <w:tcPr>
            <w:tcW w:w="1695" w:type="dxa"/>
          </w:tcPr>
          <w:p w14:paraId="0000004E" w14:textId="488BE6D7" w:rsidR="00CC7000" w:rsidRDefault="00BB2736" w:rsidP="00CB4A60">
            <w:pPr>
              <w:keepLines/>
              <w:widowControl/>
              <w:pBdr>
                <w:top w:val="nil"/>
                <w:left w:val="nil"/>
                <w:bottom w:val="nil"/>
                <w:right w:val="nil"/>
                <w:between w:val="nil"/>
              </w:pBdr>
              <w:spacing w:before="98" w:line="232" w:lineRule="auto"/>
              <w:ind w:left="104" w:right="149"/>
              <w:rPr>
                <w:color w:val="000000"/>
                <w:sz w:val="18"/>
                <w:szCs w:val="18"/>
              </w:rPr>
            </w:pPr>
            <w:r>
              <w:rPr>
                <w:color w:val="000000"/>
                <w:sz w:val="18"/>
                <w:szCs w:val="18"/>
              </w:rPr>
              <w:t>Rates are reset every two years.</w:t>
            </w:r>
            <w:r w:rsidR="00CB4A60">
              <w:rPr>
                <w:color w:val="000000"/>
                <w:sz w:val="18"/>
                <w:szCs w:val="18"/>
              </w:rPr>
              <w:t xml:space="preserve"> </w:t>
            </w:r>
          </w:p>
        </w:tc>
        <w:tc>
          <w:tcPr>
            <w:tcW w:w="1080" w:type="dxa"/>
            <w:gridSpan w:val="2"/>
          </w:tcPr>
          <w:p w14:paraId="0000004F" w14:textId="32B10D16" w:rsidR="00CC7000" w:rsidRPr="00734873" w:rsidRDefault="00897374" w:rsidP="000A5517">
            <w:pPr>
              <w:keepLines/>
              <w:widowControl/>
              <w:pBdr>
                <w:top w:val="nil"/>
                <w:left w:val="nil"/>
                <w:bottom w:val="nil"/>
                <w:right w:val="nil"/>
                <w:between w:val="nil"/>
              </w:pBdr>
              <w:jc w:val="center"/>
              <w:rPr>
                <w:rFonts w:ascii="Times New Roman" w:eastAsia="Times New Roman" w:hAnsi="Times New Roman" w:cs="Times New Roman"/>
                <w:b/>
                <w:bCs/>
                <w:sz w:val="18"/>
                <w:szCs w:val="18"/>
              </w:rPr>
            </w:pPr>
            <w:r w:rsidRPr="00897374">
              <w:rPr>
                <w:rFonts w:ascii="Times New Roman" w:eastAsia="Times New Roman" w:hAnsi="Times New Roman" w:cs="Times New Roman"/>
                <w:b/>
                <w:bCs/>
                <w:sz w:val="28"/>
                <w:szCs w:val="28"/>
              </w:rPr>
              <w:t>-</w:t>
            </w:r>
          </w:p>
        </w:tc>
        <w:tc>
          <w:tcPr>
            <w:tcW w:w="3840" w:type="dxa"/>
          </w:tcPr>
          <w:p w14:paraId="0CA916D7" w14:textId="1AA83B40" w:rsidR="000A5517" w:rsidRDefault="001F7438" w:rsidP="00734873">
            <w:pPr>
              <w:keepLines/>
              <w:widowControl/>
              <w:pBdr>
                <w:top w:val="nil"/>
                <w:left w:val="nil"/>
                <w:bottom w:val="nil"/>
                <w:right w:val="nil"/>
                <w:between w:val="nil"/>
              </w:pBdr>
              <w:spacing w:line="276" w:lineRule="auto"/>
              <w:rPr>
                <w:rFonts w:eastAsia="Times New Roman"/>
                <w:sz w:val="18"/>
                <w:szCs w:val="18"/>
              </w:rPr>
            </w:pPr>
            <w:r>
              <w:rPr>
                <w:rFonts w:eastAsia="Times New Roman"/>
                <w:sz w:val="18"/>
                <w:szCs w:val="18"/>
              </w:rPr>
              <w:t xml:space="preserve">The biennial rate review </w:t>
            </w:r>
            <w:r w:rsidR="00C0692A">
              <w:rPr>
                <w:rFonts w:eastAsia="Times New Roman"/>
                <w:sz w:val="18"/>
                <w:szCs w:val="18"/>
              </w:rPr>
              <w:t xml:space="preserve">itself </w:t>
            </w:r>
            <w:r>
              <w:rPr>
                <w:rFonts w:eastAsia="Times New Roman"/>
                <w:sz w:val="18"/>
                <w:szCs w:val="18"/>
              </w:rPr>
              <w:t xml:space="preserve">does not </w:t>
            </w:r>
            <w:r w:rsidR="000A5517">
              <w:rPr>
                <w:rFonts w:eastAsia="Times New Roman"/>
                <w:sz w:val="18"/>
                <w:szCs w:val="18"/>
              </w:rPr>
              <w:t xml:space="preserve">significantly impact a utility’s incentive to support peak demand reductions and energy efficiency. </w:t>
            </w:r>
            <w:r w:rsidR="00734873">
              <w:rPr>
                <w:rFonts w:eastAsia="Times New Roman"/>
                <w:sz w:val="18"/>
                <w:szCs w:val="18"/>
              </w:rPr>
              <w:t>However,</w:t>
            </w:r>
            <w:r w:rsidR="00280562">
              <w:rPr>
                <w:rFonts w:eastAsia="Times New Roman"/>
                <w:sz w:val="18"/>
                <w:szCs w:val="18"/>
              </w:rPr>
              <w:t xml:space="preserve"> </w:t>
            </w:r>
            <w:r>
              <w:rPr>
                <w:rFonts w:eastAsia="Times New Roman"/>
                <w:sz w:val="18"/>
                <w:szCs w:val="18"/>
              </w:rPr>
              <w:t>the lack of a decoupling mechanism in between rate cases creates a disincentive for the utilities to invest in and support energy efficiency</w:t>
            </w:r>
            <w:r w:rsidR="00280562">
              <w:rPr>
                <w:rFonts w:eastAsia="Times New Roman"/>
                <w:sz w:val="18"/>
                <w:szCs w:val="18"/>
              </w:rPr>
              <w:t xml:space="preserve">. </w:t>
            </w:r>
          </w:p>
          <w:p w14:paraId="5770529E" w14:textId="77777777" w:rsidR="000A5517" w:rsidRDefault="000A5517" w:rsidP="00734873">
            <w:pPr>
              <w:keepLines/>
              <w:widowControl/>
              <w:pBdr>
                <w:top w:val="nil"/>
                <w:left w:val="nil"/>
                <w:bottom w:val="nil"/>
                <w:right w:val="nil"/>
                <w:between w:val="nil"/>
              </w:pBdr>
              <w:spacing w:line="276" w:lineRule="auto"/>
              <w:rPr>
                <w:rFonts w:eastAsia="Times New Roman"/>
                <w:sz w:val="18"/>
                <w:szCs w:val="18"/>
              </w:rPr>
            </w:pPr>
          </w:p>
          <w:p w14:paraId="1836E49F" w14:textId="77A701AA" w:rsidR="000A5517" w:rsidRDefault="00EC6EA6" w:rsidP="00734873">
            <w:pPr>
              <w:keepLines/>
              <w:widowControl/>
              <w:pBdr>
                <w:top w:val="nil"/>
                <w:left w:val="nil"/>
                <w:bottom w:val="nil"/>
                <w:right w:val="nil"/>
                <w:between w:val="nil"/>
              </w:pBdr>
              <w:spacing w:line="276" w:lineRule="auto"/>
              <w:rPr>
                <w:rFonts w:eastAsia="Times New Roman"/>
                <w:sz w:val="18"/>
                <w:szCs w:val="18"/>
              </w:rPr>
            </w:pPr>
            <w:r>
              <w:rPr>
                <w:rFonts w:eastAsia="Times New Roman"/>
                <w:sz w:val="18"/>
                <w:szCs w:val="18"/>
              </w:rPr>
              <w:t xml:space="preserve">Under the current biennial rate review structure, </w:t>
            </w:r>
            <w:r w:rsidR="00AA3687">
              <w:rPr>
                <w:rFonts w:eastAsia="Times New Roman"/>
                <w:sz w:val="18"/>
                <w:szCs w:val="18"/>
              </w:rPr>
              <w:t xml:space="preserve">rates are set </w:t>
            </w:r>
            <w:r>
              <w:rPr>
                <w:rFonts w:eastAsia="Times New Roman"/>
                <w:sz w:val="18"/>
                <w:szCs w:val="18"/>
              </w:rPr>
              <w:t>to enable the utility to recover its revenue requirement</w:t>
            </w:r>
            <w:r w:rsidR="00AA3687">
              <w:rPr>
                <w:rFonts w:eastAsia="Times New Roman"/>
                <w:sz w:val="18"/>
                <w:szCs w:val="18"/>
              </w:rPr>
              <w:t xml:space="preserve">s for a </w:t>
            </w:r>
            <w:proofErr w:type="gramStart"/>
            <w:r w:rsidR="00AA3687">
              <w:rPr>
                <w:rFonts w:eastAsia="Times New Roman"/>
                <w:sz w:val="18"/>
                <w:szCs w:val="18"/>
              </w:rPr>
              <w:t>two year</w:t>
            </w:r>
            <w:proofErr w:type="gramEnd"/>
            <w:r w:rsidR="00AA3687">
              <w:rPr>
                <w:rFonts w:eastAsia="Times New Roman"/>
                <w:sz w:val="18"/>
                <w:szCs w:val="18"/>
              </w:rPr>
              <w:t xml:space="preserve"> period</w:t>
            </w:r>
            <w:r>
              <w:rPr>
                <w:rFonts w:eastAsia="Times New Roman"/>
                <w:sz w:val="18"/>
                <w:szCs w:val="18"/>
              </w:rPr>
              <w:t xml:space="preserve">. All else being equal, once rates are set, </w:t>
            </w:r>
            <w:r w:rsidR="00AA3687">
              <w:rPr>
                <w:rFonts w:eastAsia="Times New Roman"/>
                <w:sz w:val="18"/>
                <w:szCs w:val="18"/>
              </w:rPr>
              <w:t>the actual revenues collected will fluctuate with sales. Energy efficiency reduce</w:t>
            </w:r>
            <w:r w:rsidR="000A5517">
              <w:rPr>
                <w:rFonts w:eastAsia="Times New Roman"/>
                <w:sz w:val="18"/>
                <w:szCs w:val="18"/>
              </w:rPr>
              <w:t>s</w:t>
            </w:r>
            <w:r w:rsidR="00AA3687">
              <w:rPr>
                <w:rFonts w:eastAsia="Times New Roman"/>
                <w:sz w:val="18"/>
                <w:szCs w:val="18"/>
              </w:rPr>
              <w:t xml:space="preserve"> electricity sales</w:t>
            </w:r>
            <w:r w:rsidR="000A5517">
              <w:rPr>
                <w:rFonts w:eastAsia="Times New Roman"/>
                <w:sz w:val="18"/>
                <w:szCs w:val="18"/>
              </w:rPr>
              <w:t xml:space="preserve"> and therefore</w:t>
            </w:r>
            <w:r w:rsidR="00AA3687">
              <w:rPr>
                <w:rFonts w:eastAsia="Times New Roman"/>
                <w:sz w:val="18"/>
                <w:szCs w:val="18"/>
              </w:rPr>
              <w:t xml:space="preserve"> will reduce utility revenues between rate cases</w:t>
            </w:r>
            <w:r w:rsidR="000A5517">
              <w:rPr>
                <w:rFonts w:eastAsia="Times New Roman"/>
                <w:sz w:val="18"/>
                <w:szCs w:val="18"/>
              </w:rPr>
              <w:t xml:space="preserve"> (this is often referred to as “lost revenues”)</w:t>
            </w:r>
            <w:r w:rsidR="00AA3687">
              <w:rPr>
                <w:rFonts w:eastAsia="Times New Roman"/>
                <w:sz w:val="18"/>
                <w:szCs w:val="18"/>
              </w:rPr>
              <w:t>.</w:t>
            </w:r>
            <w:r w:rsidR="000A5517">
              <w:rPr>
                <w:rFonts w:eastAsia="Times New Roman"/>
                <w:sz w:val="18"/>
                <w:szCs w:val="18"/>
              </w:rPr>
              <w:t xml:space="preserve"> The lack of decoupling has less of an impact on incentives to support programs that only target reductions in peak demand like demand response. These programs tend to result in minimal lost revenues because they aim to shift the timing of energy sales, not reduce overall energy sales.  </w:t>
            </w:r>
          </w:p>
          <w:p w14:paraId="4D31E870" w14:textId="77777777" w:rsidR="000A5517" w:rsidRDefault="000A5517" w:rsidP="00734873">
            <w:pPr>
              <w:keepLines/>
              <w:widowControl/>
              <w:pBdr>
                <w:top w:val="nil"/>
                <w:left w:val="nil"/>
                <w:bottom w:val="nil"/>
                <w:right w:val="nil"/>
                <w:between w:val="nil"/>
              </w:pBdr>
              <w:spacing w:line="276" w:lineRule="auto"/>
              <w:rPr>
                <w:rFonts w:eastAsia="Times New Roman"/>
                <w:sz w:val="18"/>
                <w:szCs w:val="18"/>
              </w:rPr>
            </w:pPr>
          </w:p>
          <w:p w14:paraId="66C9F5D3" w14:textId="4BF4C5C6" w:rsidR="000A5517" w:rsidRDefault="000A5517" w:rsidP="00734873">
            <w:pPr>
              <w:keepLines/>
              <w:widowControl/>
              <w:pBdr>
                <w:top w:val="nil"/>
                <w:left w:val="nil"/>
                <w:bottom w:val="nil"/>
                <w:right w:val="nil"/>
                <w:between w:val="nil"/>
              </w:pBdr>
              <w:spacing w:line="276" w:lineRule="auto"/>
              <w:rPr>
                <w:rFonts w:eastAsia="Times New Roman"/>
                <w:sz w:val="18"/>
                <w:szCs w:val="18"/>
              </w:rPr>
            </w:pPr>
            <w:r>
              <w:rPr>
                <w:rFonts w:eastAsia="Times New Roman"/>
                <w:sz w:val="18"/>
                <w:szCs w:val="18"/>
              </w:rPr>
              <w:t xml:space="preserve">The frequency of rate cases also </w:t>
            </w:r>
            <w:proofErr w:type="gramStart"/>
            <w:r>
              <w:rPr>
                <w:rFonts w:eastAsia="Times New Roman"/>
                <w:sz w:val="18"/>
                <w:szCs w:val="18"/>
              </w:rPr>
              <w:t xml:space="preserve">reduces </w:t>
            </w:r>
            <w:r w:rsidRPr="000A5517">
              <w:rPr>
                <w:rFonts w:eastAsia="Times New Roman"/>
                <w:sz w:val="18"/>
                <w:szCs w:val="18"/>
              </w:rPr>
              <w:t xml:space="preserve"> regulatory</w:t>
            </w:r>
            <w:proofErr w:type="gramEnd"/>
            <w:r w:rsidRPr="000A5517">
              <w:rPr>
                <w:rFonts w:eastAsia="Times New Roman"/>
                <w:sz w:val="18"/>
                <w:szCs w:val="18"/>
              </w:rPr>
              <w:t xml:space="preserve"> lag, (i.e., the time between rate cases) which can serve as an incentive for cost efficiencies. Once rates are set, if a utility can control costs, its earnings are higher. Conversely, if utility costs increase above revenues, profits will fall. Under the current two-year rate period, there is little incentive for the utility to control costs because if it overspends it only </w:t>
            </w:r>
            <w:proofErr w:type="gramStart"/>
            <w:r w:rsidRPr="000A5517">
              <w:rPr>
                <w:rFonts w:eastAsia="Times New Roman"/>
                <w:sz w:val="18"/>
                <w:szCs w:val="18"/>
              </w:rPr>
              <w:t>has to</w:t>
            </w:r>
            <w:proofErr w:type="gramEnd"/>
            <w:r w:rsidRPr="000A5517">
              <w:rPr>
                <w:rFonts w:eastAsia="Times New Roman"/>
                <w:sz w:val="18"/>
                <w:szCs w:val="18"/>
              </w:rPr>
              <w:t xml:space="preserve"> wait a year until rates are reset. </w:t>
            </w:r>
            <w:r>
              <w:rPr>
                <w:rFonts w:eastAsia="Times New Roman"/>
                <w:sz w:val="18"/>
                <w:szCs w:val="18"/>
              </w:rPr>
              <w:t xml:space="preserve">This means there is little incentive for the utility to consider utilizing demand-side resources like targeted demand response and energy efficiency to avoid more costly distribution system upgrades since </w:t>
            </w:r>
            <w:r w:rsidRPr="000A5517">
              <w:rPr>
                <w:rFonts w:eastAsia="Times New Roman"/>
                <w:sz w:val="18"/>
                <w:szCs w:val="18"/>
              </w:rPr>
              <w:t xml:space="preserve"> </w:t>
            </w:r>
          </w:p>
          <w:p w14:paraId="00000053" w14:textId="62880BBB" w:rsidR="00734873" w:rsidRPr="00734873" w:rsidRDefault="00AA3687" w:rsidP="00734873">
            <w:pPr>
              <w:keepLines/>
              <w:widowControl/>
              <w:pBdr>
                <w:top w:val="nil"/>
                <w:left w:val="nil"/>
                <w:bottom w:val="nil"/>
                <w:right w:val="nil"/>
                <w:between w:val="nil"/>
              </w:pBdr>
              <w:spacing w:line="276" w:lineRule="auto"/>
              <w:rPr>
                <w:rFonts w:eastAsia="Times New Roman"/>
                <w:sz w:val="18"/>
                <w:szCs w:val="18"/>
              </w:rPr>
            </w:pPr>
            <w:r>
              <w:rPr>
                <w:rFonts w:eastAsia="Times New Roman"/>
                <w:sz w:val="18"/>
                <w:szCs w:val="18"/>
              </w:rPr>
              <w:t xml:space="preserve"> </w:t>
            </w:r>
            <w:r w:rsidR="000A5517">
              <w:rPr>
                <w:rFonts w:eastAsia="Times New Roman"/>
                <w:sz w:val="18"/>
                <w:szCs w:val="18"/>
              </w:rPr>
              <w:t xml:space="preserve"> </w:t>
            </w:r>
          </w:p>
        </w:tc>
        <w:tc>
          <w:tcPr>
            <w:tcW w:w="4710" w:type="dxa"/>
          </w:tcPr>
          <w:p w14:paraId="16F1F090" w14:textId="392BEDE0" w:rsidR="000A5517" w:rsidRDefault="000A5517" w:rsidP="000A5517">
            <w:pPr>
              <w:keepLines/>
              <w:widowControl/>
              <w:pBdr>
                <w:top w:val="nil"/>
                <w:left w:val="nil"/>
                <w:bottom w:val="nil"/>
                <w:right w:val="nil"/>
                <w:between w:val="nil"/>
              </w:pBdr>
              <w:spacing w:line="276" w:lineRule="auto"/>
              <w:rPr>
                <w:rFonts w:eastAsia="Times New Roman"/>
                <w:sz w:val="18"/>
                <w:szCs w:val="18"/>
              </w:rPr>
            </w:pPr>
            <w:r w:rsidRPr="000A5517">
              <w:rPr>
                <w:rFonts w:eastAsia="Times New Roman"/>
                <w:sz w:val="18"/>
                <w:szCs w:val="18"/>
              </w:rPr>
              <w:t>An MRP with a longer stay</w:t>
            </w:r>
            <w:r w:rsidR="00ED096F">
              <w:rPr>
                <w:rFonts w:eastAsia="Times New Roman"/>
                <w:sz w:val="18"/>
                <w:szCs w:val="18"/>
              </w:rPr>
              <w:t>-</w:t>
            </w:r>
            <w:r w:rsidRPr="000A5517">
              <w:rPr>
                <w:rFonts w:eastAsia="Times New Roman"/>
                <w:sz w:val="18"/>
                <w:szCs w:val="18"/>
              </w:rPr>
              <w:t>out period</w:t>
            </w:r>
            <w:r>
              <w:rPr>
                <w:rFonts w:eastAsia="Times New Roman"/>
                <w:sz w:val="18"/>
                <w:szCs w:val="18"/>
              </w:rPr>
              <w:t xml:space="preserve"> (i.e., 3-5 years) combined with a revenue decoupling mechanism would help support additional peak demand reductions and energy efficiency savings in several ways. </w:t>
            </w:r>
          </w:p>
          <w:p w14:paraId="3FA48E2D" w14:textId="77777777" w:rsidR="000A5517" w:rsidRDefault="000A5517" w:rsidP="000A5517">
            <w:pPr>
              <w:keepLines/>
              <w:widowControl/>
              <w:pBdr>
                <w:top w:val="nil"/>
                <w:left w:val="nil"/>
                <w:bottom w:val="nil"/>
                <w:right w:val="nil"/>
                <w:between w:val="nil"/>
              </w:pBdr>
              <w:spacing w:line="276" w:lineRule="auto"/>
              <w:rPr>
                <w:rFonts w:eastAsia="Times New Roman"/>
                <w:sz w:val="18"/>
                <w:szCs w:val="18"/>
              </w:rPr>
            </w:pPr>
          </w:p>
          <w:p w14:paraId="08B1080E" w14:textId="768E859E" w:rsidR="00ED096F" w:rsidRDefault="000A5517" w:rsidP="000A5517">
            <w:pPr>
              <w:keepLines/>
              <w:widowControl/>
              <w:pBdr>
                <w:top w:val="nil"/>
                <w:left w:val="nil"/>
                <w:bottom w:val="nil"/>
                <w:right w:val="nil"/>
                <w:between w:val="nil"/>
              </w:pBdr>
              <w:spacing w:line="276" w:lineRule="auto"/>
              <w:rPr>
                <w:rFonts w:eastAsia="Times New Roman"/>
                <w:sz w:val="18"/>
                <w:szCs w:val="18"/>
              </w:rPr>
            </w:pPr>
            <w:r>
              <w:rPr>
                <w:rFonts w:eastAsia="Times New Roman"/>
                <w:sz w:val="18"/>
                <w:szCs w:val="18"/>
              </w:rPr>
              <w:t xml:space="preserve">A decoupling mechanism would remove the utility’s </w:t>
            </w:r>
            <w:r w:rsidR="00ED096F">
              <w:rPr>
                <w:rFonts w:eastAsia="Times New Roman"/>
                <w:sz w:val="18"/>
                <w:szCs w:val="18"/>
              </w:rPr>
              <w:t>distinctive</w:t>
            </w:r>
            <w:r>
              <w:rPr>
                <w:rFonts w:eastAsia="Times New Roman"/>
                <w:sz w:val="18"/>
                <w:szCs w:val="18"/>
              </w:rPr>
              <w:t xml:space="preserve"> to support energy efficiency by </w:t>
            </w:r>
            <w:r w:rsidR="00ED096F">
              <w:rPr>
                <w:rFonts w:eastAsia="Times New Roman"/>
                <w:sz w:val="18"/>
                <w:szCs w:val="18"/>
              </w:rPr>
              <w:t xml:space="preserve">allowing for the recovery of lost revenues. </w:t>
            </w:r>
          </w:p>
          <w:p w14:paraId="1DF15E29" w14:textId="77777777" w:rsidR="00ED096F" w:rsidRDefault="00ED096F" w:rsidP="000A5517">
            <w:pPr>
              <w:keepLines/>
              <w:widowControl/>
              <w:pBdr>
                <w:top w:val="nil"/>
                <w:left w:val="nil"/>
                <w:bottom w:val="nil"/>
                <w:right w:val="nil"/>
                <w:between w:val="nil"/>
              </w:pBdr>
              <w:spacing w:line="276" w:lineRule="auto"/>
              <w:rPr>
                <w:rFonts w:eastAsia="Times New Roman"/>
                <w:sz w:val="18"/>
                <w:szCs w:val="18"/>
              </w:rPr>
            </w:pPr>
          </w:p>
          <w:p w14:paraId="0000005A" w14:textId="6D4B561B" w:rsidR="00CC7000" w:rsidRPr="00A133CD" w:rsidRDefault="00ED096F" w:rsidP="000A5517">
            <w:pPr>
              <w:keepLines/>
              <w:widowControl/>
              <w:pBdr>
                <w:top w:val="nil"/>
                <w:left w:val="nil"/>
                <w:bottom w:val="nil"/>
                <w:right w:val="nil"/>
                <w:between w:val="nil"/>
              </w:pBdr>
              <w:spacing w:line="276" w:lineRule="auto"/>
              <w:rPr>
                <w:rFonts w:eastAsia="Times New Roman"/>
                <w:sz w:val="18"/>
                <w:szCs w:val="18"/>
              </w:rPr>
            </w:pPr>
            <w:r>
              <w:rPr>
                <w:rFonts w:eastAsia="Times New Roman"/>
                <w:sz w:val="18"/>
                <w:szCs w:val="18"/>
              </w:rPr>
              <w:t>An MRP with a longer stay-out period could create an incentive for the utility to seek out operational efficiencies and consider lower-cost alternative to traditional distribution investments like non-wires alternatives. The level of this incentive will also depend on how much of the earnings a utility is allowed to keep above its allowed rate of return.</w:t>
            </w:r>
          </w:p>
        </w:tc>
      </w:tr>
      <w:tr w:rsidR="00CC7000" w14:paraId="6E121302" w14:textId="77777777" w:rsidTr="00BB2736">
        <w:trPr>
          <w:trHeight w:val="986"/>
        </w:trPr>
        <w:tc>
          <w:tcPr>
            <w:tcW w:w="1950" w:type="dxa"/>
            <w:vMerge/>
            <w:vAlign w:val="center"/>
          </w:tcPr>
          <w:p w14:paraId="00000061" w14:textId="005CF0E8" w:rsidR="00CC7000" w:rsidRDefault="00CC7000">
            <w:pPr>
              <w:keepLines/>
              <w:widowControl/>
              <w:pBdr>
                <w:top w:val="nil"/>
                <w:left w:val="nil"/>
                <w:bottom w:val="nil"/>
                <w:right w:val="nil"/>
                <w:between w:val="nil"/>
              </w:pBdr>
              <w:spacing w:line="266" w:lineRule="auto"/>
              <w:ind w:left="60"/>
              <w:rPr>
                <w:b/>
                <w:color w:val="000000"/>
                <w:sz w:val="18"/>
                <w:szCs w:val="18"/>
              </w:rPr>
            </w:pPr>
          </w:p>
        </w:tc>
        <w:tc>
          <w:tcPr>
            <w:tcW w:w="1695" w:type="dxa"/>
          </w:tcPr>
          <w:p w14:paraId="00000062" w14:textId="77777777" w:rsidR="00CC7000" w:rsidRDefault="00CC7000">
            <w:pPr>
              <w:keepLines/>
              <w:widowControl/>
              <w:pBdr>
                <w:top w:val="nil"/>
                <w:left w:val="nil"/>
                <w:bottom w:val="nil"/>
                <w:right w:val="nil"/>
                <w:between w:val="nil"/>
              </w:pBdr>
              <w:spacing w:before="98" w:line="232" w:lineRule="auto"/>
              <w:ind w:left="104" w:right="149"/>
              <w:rPr>
                <w:color w:val="000000"/>
                <w:sz w:val="18"/>
                <w:szCs w:val="18"/>
              </w:rPr>
            </w:pPr>
            <w:r>
              <w:rPr>
                <w:color w:val="000000"/>
                <w:sz w:val="18"/>
                <w:szCs w:val="18"/>
              </w:rPr>
              <w:t>Forward-looking</w:t>
            </w:r>
          </w:p>
        </w:tc>
        <w:tc>
          <w:tcPr>
            <w:tcW w:w="1080" w:type="dxa"/>
            <w:gridSpan w:val="2"/>
          </w:tcPr>
          <w:p w14:paraId="00000063" w14:textId="53517715" w:rsidR="00CC7000" w:rsidRPr="000439E9" w:rsidRDefault="00E62FEA" w:rsidP="00E62FEA">
            <w:pPr>
              <w:keepLines/>
              <w:widowControl/>
              <w:pBdr>
                <w:top w:val="nil"/>
                <w:left w:val="nil"/>
                <w:bottom w:val="nil"/>
                <w:right w:val="nil"/>
                <w:between w:val="nil"/>
              </w:pBdr>
              <w:ind w:left="360"/>
              <w:rPr>
                <w:rFonts w:ascii="Times New Roman" w:eastAsia="Times New Roman" w:hAnsi="Times New Roman" w:cs="Times New Roman"/>
                <w:b/>
                <w:bCs/>
                <w:color w:val="000000"/>
              </w:rPr>
            </w:pPr>
            <w:r w:rsidRPr="000439E9">
              <w:rPr>
                <w:rFonts w:ascii="Times New Roman" w:eastAsia="Times New Roman" w:hAnsi="Times New Roman" w:cs="Times New Roman"/>
                <w:b/>
                <w:bCs/>
                <w:color w:val="000000"/>
              </w:rPr>
              <w:t>0</w:t>
            </w:r>
          </w:p>
        </w:tc>
        <w:tc>
          <w:tcPr>
            <w:tcW w:w="3840" w:type="dxa"/>
          </w:tcPr>
          <w:p w14:paraId="3B59EDBF" w14:textId="77777777" w:rsidR="00897374" w:rsidRDefault="00897374" w:rsidP="00897374">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This mechanism does not impact utility incentives for peak demand reductions or achievement of energy efficiency savings.</w:t>
            </w:r>
          </w:p>
          <w:p w14:paraId="00000065" w14:textId="36D7ACDE" w:rsidR="00897374" w:rsidRPr="00A133CD" w:rsidRDefault="00897374" w:rsidP="00897374">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00000066" w14:textId="50AEDC17" w:rsidR="00CC7000" w:rsidRPr="00A133CD" w:rsidRDefault="00CC7000" w:rsidP="00A133CD">
            <w:pPr>
              <w:keepLines/>
              <w:widowControl/>
              <w:pBdr>
                <w:top w:val="nil"/>
                <w:left w:val="nil"/>
                <w:bottom w:val="nil"/>
                <w:right w:val="nil"/>
                <w:between w:val="nil"/>
              </w:pBdr>
              <w:spacing w:line="276" w:lineRule="auto"/>
              <w:rPr>
                <w:rFonts w:eastAsia="Times New Roman"/>
                <w:color w:val="000000"/>
                <w:sz w:val="18"/>
                <w:szCs w:val="18"/>
              </w:rPr>
            </w:pPr>
          </w:p>
        </w:tc>
      </w:tr>
      <w:tr w:rsidR="00CC7000" w14:paraId="46702219" w14:textId="77777777" w:rsidTr="00BB2736">
        <w:trPr>
          <w:trHeight w:val="509"/>
        </w:trPr>
        <w:tc>
          <w:tcPr>
            <w:tcW w:w="1950" w:type="dxa"/>
            <w:vMerge/>
            <w:vAlign w:val="center"/>
          </w:tcPr>
          <w:p w14:paraId="00000067" w14:textId="77777777" w:rsidR="00CC7000" w:rsidRDefault="00CC700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68" w14:textId="77777777" w:rsidR="00CC7000" w:rsidRDefault="00CC7000">
            <w:pPr>
              <w:keepLines/>
              <w:widowControl/>
              <w:pBdr>
                <w:top w:val="nil"/>
                <w:left w:val="nil"/>
                <w:bottom w:val="nil"/>
                <w:right w:val="nil"/>
                <w:between w:val="nil"/>
              </w:pBdr>
              <w:spacing w:before="98" w:line="232" w:lineRule="auto"/>
              <w:ind w:left="104" w:right="149"/>
              <w:rPr>
                <w:color w:val="000000"/>
                <w:sz w:val="18"/>
                <w:szCs w:val="18"/>
              </w:rPr>
            </w:pPr>
            <w:r>
              <w:rPr>
                <w:color w:val="000000"/>
                <w:sz w:val="18"/>
                <w:szCs w:val="18"/>
              </w:rPr>
              <w:t xml:space="preserve">Backward-looking (w/ earnings adjustments) </w:t>
            </w:r>
          </w:p>
        </w:tc>
        <w:tc>
          <w:tcPr>
            <w:tcW w:w="1080" w:type="dxa"/>
            <w:gridSpan w:val="2"/>
          </w:tcPr>
          <w:p w14:paraId="00000069" w14:textId="4540C2D4" w:rsidR="00CC7000" w:rsidRPr="000439E9" w:rsidRDefault="007264AE" w:rsidP="00AA3687">
            <w:pPr>
              <w:keepLines/>
              <w:widowControl/>
              <w:pBdr>
                <w:top w:val="nil"/>
                <w:left w:val="nil"/>
                <w:bottom w:val="nil"/>
                <w:right w:val="nil"/>
                <w:between w:val="nil"/>
              </w:pBdr>
              <w:ind w:left="360"/>
              <w:rPr>
                <w:rFonts w:ascii="Times New Roman" w:eastAsia="Times New Roman" w:hAnsi="Times New Roman" w:cs="Times New Roman"/>
                <w:b/>
                <w:bCs/>
                <w:color w:val="000000"/>
              </w:rPr>
            </w:pPr>
            <w:r w:rsidRPr="000439E9">
              <w:rPr>
                <w:rFonts w:ascii="Times New Roman" w:eastAsia="Times New Roman" w:hAnsi="Times New Roman" w:cs="Times New Roman"/>
                <w:b/>
                <w:bCs/>
                <w:color w:val="000000"/>
              </w:rPr>
              <w:t>0</w:t>
            </w:r>
          </w:p>
        </w:tc>
        <w:tc>
          <w:tcPr>
            <w:tcW w:w="3840" w:type="dxa"/>
          </w:tcPr>
          <w:p w14:paraId="26D1C362" w14:textId="77777777" w:rsidR="00CC7000" w:rsidRPr="00A133CD" w:rsidRDefault="00BB2736"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color w:val="000000"/>
                <w:sz w:val="18"/>
                <w:szCs w:val="18"/>
              </w:rPr>
              <w:t>The earning test measures earnings of utility over a 13-month historic period.</w:t>
            </w:r>
          </w:p>
          <w:p w14:paraId="5C7A1F1D" w14:textId="77777777" w:rsidR="004C17B8" w:rsidRPr="00A133CD" w:rsidRDefault="004C17B8" w:rsidP="00A133CD">
            <w:pPr>
              <w:keepLines/>
              <w:widowControl/>
              <w:pBdr>
                <w:top w:val="nil"/>
                <w:left w:val="nil"/>
                <w:bottom w:val="nil"/>
                <w:right w:val="nil"/>
                <w:between w:val="nil"/>
              </w:pBdr>
              <w:spacing w:line="276" w:lineRule="auto"/>
              <w:rPr>
                <w:rFonts w:eastAsia="Times New Roman"/>
                <w:color w:val="000000"/>
                <w:sz w:val="18"/>
                <w:szCs w:val="18"/>
              </w:rPr>
            </w:pPr>
          </w:p>
          <w:p w14:paraId="0000006B" w14:textId="027E2A2A" w:rsidR="004C17B8" w:rsidRPr="00A133CD" w:rsidRDefault="004C17B8" w:rsidP="00E76652">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1FEED858" w14:textId="77777777" w:rsidR="00C0692A" w:rsidRDefault="00C0692A"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 xml:space="preserve">Within the current framework the earnings tests have little impact on incentives for peak demand reduction and energy efficiency. However, it will be important to revisit these if an MRP framework is developed. </w:t>
            </w:r>
          </w:p>
          <w:p w14:paraId="5FAF029D" w14:textId="77777777" w:rsidR="00C0692A" w:rsidRDefault="00C0692A" w:rsidP="00A133CD">
            <w:pPr>
              <w:keepLines/>
              <w:widowControl/>
              <w:pBdr>
                <w:top w:val="nil"/>
                <w:left w:val="nil"/>
                <w:bottom w:val="nil"/>
                <w:right w:val="nil"/>
                <w:between w:val="nil"/>
              </w:pBdr>
              <w:spacing w:line="276" w:lineRule="auto"/>
              <w:rPr>
                <w:rFonts w:eastAsia="Times New Roman"/>
                <w:color w:val="000000"/>
                <w:sz w:val="18"/>
                <w:szCs w:val="18"/>
              </w:rPr>
            </w:pPr>
          </w:p>
          <w:p w14:paraId="0000006C" w14:textId="3DF22EE2" w:rsidR="00FD6B3F" w:rsidRPr="00A133CD" w:rsidRDefault="00FD6B3F" w:rsidP="00E76652">
            <w:pPr>
              <w:keepLines/>
              <w:widowControl/>
              <w:pBdr>
                <w:top w:val="nil"/>
                <w:left w:val="nil"/>
                <w:bottom w:val="nil"/>
                <w:right w:val="nil"/>
                <w:between w:val="nil"/>
              </w:pBdr>
              <w:spacing w:line="276" w:lineRule="auto"/>
              <w:rPr>
                <w:rFonts w:eastAsia="Times New Roman"/>
                <w:color w:val="000000"/>
                <w:sz w:val="18"/>
                <w:szCs w:val="18"/>
              </w:rPr>
            </w:pPr>
          </w:p>
        </w:tc>
      </w:tr>
      <w:tr w:rsidR="00535740" w14:paraId="56D8E1FC" w14:textId="77777777" w:rsidTr="00BB2736">
        <w:trPr>
          <w:trHeight w:val="302"/>
        </w:trPr>
        <w:tc>
          <w:tcPr>
            <w:tcW w:w="1950" w:type="dxa"/>
            <w:vAlign w:val="center"/>
          </w:tcPr>
          <w:p w14:paraId="0000006D" w14:textId="77777777" w:rsidR="00535740" w:rsidRDefault="00000000">
            <w:pPr>
              <w:keepLines/>
              <w:widowControl/>
              <w:pBdr>
                <w:top w:val="nil"/>
                <w:left w:val="nil"/>
                <w:bottom w:val="nil"/>
                <w:right w:val="nil"/>
                <w:between w:val="nil"/>
              </w:pBdr>
              <w:spacing w:line="266" w:lineRule="auto"/>
              <w:ind w:left="60"/>
              <w:rPr>
                <w:b/>
                <w:color w:val="000000"/>
                <w:sz w:val="18"/>
                <w:szCs w:val="18"/>
              </w:rPr>
            </w:pPr>
            <w:r>
              <w:rPr>
                <w:b/>
                <w:color w:val="000000"/>
                <w:sz w:val="18"/>
                <w:szCs w:val="18"/>
              </w:rPr>
              <w:t>ROE Determinations</w:t>
            </w:r>
          </w:p>
        </w:tc>
        <w:tc>
          <w:tcPr>
            <w:tcW w:w="1695" w:type="dxa"/>
          </w:tcPr>
          <w:p w14:paraId="0000006E" w14:textId="77777777" w:rsidR="00535740" w:rsidRPr="00BF6192" w:rsidRDefault="00535740" w:rsidP="00BF6192">
            <w:pPr>
              <w:keepLines/>
              <w:widowControl/>
              <w:pBdr>
                <w:top w:val="nil"/>
                <w:left w:val="nil"/>
                <w:bottom w:val="nil"/>
                <w:right w:val="nil"/>
                <w:between w:val="nil"/>
              </w:pBdr>
              <w:spacing w:before="98" w:line="232" w:lineRule="auto"/>
              <w:ind w:left="104" w:right="149"/>
              <w:jc w:val="center"/>
              <w:rPr>
                <w:color w:val="000000"/>
              </w:rPr>
            </w:pPr>
          </w:p>
        </w:tc>
        <w:tc>
          <w:tcPr>
            <w:tcW w:w="1080" w:type="dxa"/>
            <w:gridSpan w:val="2"/>
          </w:tcPr>
          <w:p w14:paraId="0000006F" w14:textId="16C76FBF" w:rsidR="00535740" w:rsidRPr="000439E9" w:rsidRDefault="000439E9" w:rsidP="00BF6192">
            <w:pPr>
              <w:keepLines/>
              <w:widowControl/>
              <w:pBdr>
                <w:top w:val="nil"/>
                <w:left w:val="nil"/>
                <w:bottom w:val="nil"/>
                <w:right w:val="nil"/>
                <w:between w:val="nil"/>
              </w:pBdr>
              <w:jc w:val="center"/>
              <w:rPr>
                <w:rFonts w:ascii="Times New Roman" w:eastAsia="Times New Roman" w:hAnsi="Times New Roman" w:cs="Times New Roman"/>
                <w:color w:val="000000"/>
              </w:rPr>
            </w:pPr>
            <w:r w:rsidRPr="000439E9">
              <w:rPr>
                <w:rFonts w:ascii="Times New Roman" w:eastAsia="Times New Roman" w:hAnsi="Times New Roman" w:cs="Times New Roman"/>
                <w:b/>
                <w:bCs/>
                <w:color w:val="000000"/>
                <w:sz w:val="28"/>
                <w:szCs w:val="28"/>
              </w:rPr>
              <w:t>-</w:t>
            </w:r>
          </w:p>
        </w:tc>
        <w:tc>
          <w:tcPr>
            <w:tcW w:w="3840" w:type="dxa"/>
          </w:tcPr>
          <w:p w14:paraId="6E8C57F1" w14:textId="77777777" w:rsidR="000439E9" w:rsidRDefault="000439E9" w:rsidP="00664130">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The ROE determination could create a disincentive to the utilities to support peak demand and energy efficiency.</w:t>
            </w:r>
          </w:p>
          <w:p w14:paraId="158FCEE6" w14:textId="77777777" w:rsidR="000439E9" w:rsidRDefault="000439E9" w:rsidP="00664130">
            <w:pPr>
              <w:keepLines/>
              <w:widowControl/>
              <w:pBdr>
                <w:top w:val="nil"/>
                <w:left w:val="nil"/>
                <w:bottom w:val="nil"/>
                <w:right w:val="nil"/>
                <w:between w:val="nil"/>
              </w:pBdr>
              <w:spacing w:line="276" w:lineRule="auto"/>
              <w:rPr>
                <w:rFonts w:eastAsia="Times New Roman"/>
                <w:color w:val="000000"/>
                <w:sz w:val="18"/>
                <w:szCs w:val="18"/>
              </w:rPr>
            </w:pPr>
          </w:p>
          <w:p w14:paraId="67F59E9A" w14:textId="3CDDA079" w:rsidR="00681DBF" w:rsidRDefault="00681DBF" w:rsidP="00664130">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When a utility’s ROE is higher than its cost of equity</w:t>
            </w:r>
            <w:r w:rsidR="0033132C">
              <w:rPr>
                <w:rFonts w:eastAsia="Times New Roman"/>
                <w:color w:val="000000"/>
                <w:sz w:val="18"/>
                <w:szCs w:val="18"/>
              </w:rPr>
              <w:t xml:space="preserve"> (i.e., cost of borrowing)</w:t>
            </w:r>
            <w:r>
              <w:rPr>
                <w:rFonts w:eastAsia="Times New Roman"/>
                <w:color w:val="000000"/>
                <w:sz w:val="18"/>
                <w:szCs w:val="18"/>
              </w:rPr>
              <w:t xml:space="preserve"> it ca</w:t>
            </w:r>
            <w:r w:rsidR="00664130">
              <w:rPr>
                <w:rFonts w:eastAsia="Times New Roman"/>
                <w:color w:val="000000"/>
                <w:sz w:val="18"/>
                <w:szCs w:val="18"/>
              </w:rPr>
              <w:t xml:space="preserve">n </w:t>
            </w:r>
            <w:r w:rsidR="000439E9">
              <w:rPr>
                <w:rFonts w:eastAsia="Times New Roman"/>
                <w:color w:val="000000"/>
                <w:sz w:val="18"/>
                <w:szCs w:val="18"/>
              </w:rPr>
              <w:t>disincentivize</w:t>
            </w:r>
            <w:r w:rsidR="00664130">
              <w:rPr>
                <w:rFonts w:eastAsia="Times New Roman"/>
                <w:color w:val="000000"/>
                <w:sz w:val="18"/>
                <w:szCs w:val="18"/>
              </w:rPr>
              <w:t xml:space="preserve"> investments in non-capital investments (customer-facing energy efficiency and demand response program</w:t>
            </w:r>
            <w:r w:rsidR="000439E9">
              <w:rPr>
                <w:rFonts w:eastAsia="Times New Roman"/>
                <w:color w:val="000000"/>
                <w:sz w:val="18"/>
                <w:szCs w:val="18"/>
              </w:rPr>
              <w:t>)</w:t>
            </w:r>
            <w:r>
              <w:rPr>
                <w:rFonts w:eastAsia="Times New Roman"/>
                <w:color w:val="000000"/>
                <w:sz w:val="18"/>
                <w:szCs w:val="18"/>
              </w:rPr>
              <w:t xml:space="preserve">. </w:t>
            </w:r>
            <w:r w:rsidR="0033132C">
              <w:rPr>
                <w:rFonts w:eastAsia="Times New Roman"/>
                <w:color w:val="000000"/>
                <w:sz w:val="18"/>
                <w:szCs w:val="18"/>
              </w:rPr>
              <w:t>This is because w</w:t>
            </w:r>
            <w:r w:rsidRPr="00681DBF">
              <w:rPr>
                <w:rFonts w:eastAsia="Times New Roman"/>
                <w:color w:val="000000"/>
                <w:sz w:val="18"/>
                <w:szCs w:val="18"/>
              </w:rPr>
              <w:t xml:space="preserve">hen a utility’s </w:t>
            </w:r>
            <w:r w:rsidR="0033132C">
              <w:rPr>
                <w:rFonts w:eastAsia="Times New Roman"/>
                <w:color w:val="000000"/>
                <w:sz w:val="18"/>
                <w:szCs w:val="18"/>
              </w:rPr>
              <w:t>ROE</w:t>
            </w:r>
            <w:r w:rsidRPr="00681DBF">
              <w:rPr>
                <w:rFonts w:eastAsia="Times New Roman"/>
                <w:color w:val="000000"/>
                <w:sz w:val="18"/>
                <w:szCs w:val="18"/>
              </w:rPr>
              <w:t xml:space="preserve"> is greater than the cost of borrowing, utilities</w:t>
            </w:r>
            <w:r w:rsidR="0033132C">
              <w:rPr>
                <w:rFonts w:eastAsia="Times New Roman"/>
                <w:color w:val="000000"/>
                <w:sz w:val="18"/>
                <w:szCs w:val="18"/>
              </w:rPr>
              <w:t xml:space="preserve"> </w:t>
            </w:r>
            <w:r w:rsidRPr="00681DBF">
              <w:rPr>
                <w:rFonts w:eastAsia="Times New Roman"/>
                <w:color w:val="000000"/>
                <w:sz w:val="18"/>
                <w:szCs w:val="18"/>
              </w:rPr>
              <w:t xml:space="preserve">have a financial incentive to maximize their capital expenditures </w:t>
            </w:r>
            <w:proofErr w:type="gramStart"/>
            <w:r w:rsidRPr="00681DBF">
              <w:rPr>
                <w:rFonts w:eastAsia="Times New Roman"/>
                <w:color w:val="000000"/>
                <w:sz w:val="18"/>
                <w:szCs w:val="18"/>
              </w:rPr>
              <w:t>in order to</w:t>
            </w:r>
            <w:proofErr w:type="gramEnd"/>
            <w:r w:rsidRPr="00681DBF">
              <w:rPr>
                <w:rFonts w:eastAsia="Times New Roman"/>
                <w:color w:val="000000"/>
                <w:sz w:val="18"/>
                <w:szCs w:val="18"/>
              </w:rPr>
              <w:t xml:space="preserve"> increase rate base and</w:t>
            </w:r>
            <w:r w:rsidR="0033132C">
              <w:rPr>
                <w:rFonts w:eastAsia="Times New Roman"/>
                <w:color w:val="000000"/>
                <w:sz w:val="18"/>
                <w:szCs w:val="18"/>
              </w:rPr>
              <w:t xml:space="preserve"> </w:t>
            </w:r>
            <w:r w:rsidRPr="00681DBF">
              <w:rPr>
                <w:rFonts w:eastAsia="Times New Roman"/>
                <w:color w:val="000000"/>
                <w:sz w:val="18"/>
                <w:szCs w:val="18"/>
              </w:rPr>
              <w:t>hereby increase profits.</w:t>
            </w:r>
            <w:r w:rsidR="00664130">
              <w:rPr>
                <w:rFonts w:eastAsia="Times New Roman"/>
                <w:color w:val="000000"/>
                <w:sz w:val="18"/>
                <w:szCs w:val="18"/>
              </w:rPr>
              <w:t xml:space="preserve"> This creates a </w:t>
            </w:r>
            <w:r w:rsidR="000C124E">
              <w:rPr>
                <w:rFonts w:eastAsia="Times New Roman"/>
                <w:color w:val="000000"/>
                <w:sz w:val="18"/>
                <w:szCs w:val="18"/>
              </w:rPr>
              <w:t xml:space="preserve">capital </w:t>
            </w:r>
            <w:r w:rsidR="00664130">
              <w:rPr>
                <w:rFonts w:eastAsia="Times New Roman"/>
                <w:color w:val="000000"/>
                <w:sz w:val="18"/>
                <w:szCs w:val="18"/>
              </w:rPr>
              <w:t>bia</w:t>
            </w:r>
            <w:r w:rsidR="000C124E">
              <w:rPr>
                <w:rFonts w:eastAsia="Times New Roman"/>
                <w:color w:val="000000"/>
                <w:sz w:val="18"/>
                <w:szCs w:val="18"/>
              </w:rPr>
              <w:t>s where it is more profitable for a utility to increase capital spending instead of pursing</w:t>
            </w:r>
            <w:r w:rsidRPr="00681DBF">
              <w:rPr>
                <w:rFonts w:eastAsia="Times New Roman"/>
                <w:color w:val="000000"/>
                <w:sz w:val="18"/>
                <w:szCs w:val="18"/>
              </w:rPr>
              <w:t xml:space="preserve"> energy efficiency</w:t>
            </w:r>
            <w:r w:rsidR="000C124E">
              <w:rPr>
                <w:rFonts w:eastAsia="Times New Roman"/>
                <w:color w:val="000000"/>
                <w:sz w:val="18"/>
                <w:szCs w:val="18"/>
              </w:rPr>
              <w:t xml:space="preserve"> and demand response.</w:t>
            </w:r>
          </w:p>
          <w:p w14:paraId="00000071" w14:textId="3366E8AB"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00000072" w14:textId="753FA079" w:rsidR="00846118" w:rsidRPr="00A133CD" w:rsidRDefault="00846118" w:rsidP="00E76652">
            <w:pPr>
              <w:keepLines/>
              <w:widowControl/>
              <w:pBdr>
                <w:top w:val="nil"/>
                <w:left w:val="nil"/>
                <w:bottom w:val="nil"/>
                <w:right w:val="nil"/>
                <w:between w:val="nil"/>
              </w:pBdr>
              <w:spacing w:line="276" w:lineRule="auto"/>
              <w:rPr>
                <w:rFonts w:eastAsia="Times New Roman"/>
                <w:color w:val="000000"/>
                <w:sz w:val="18"/>
                <w:szCs w:val="18"/>
              </w:rPr>
            </w:pPr>
          </w:p>
        </w:tc>
      </w:tr>
      <w:tr w:rsidR="00535740" w14:paraId="596276A2" w14:textId="77777777" w:rsidTr="00BB2736">
        <w:trPr>
          <w:trHeight w:val="1495"/>
        </w:trPr>
        <w:tc>
          <w:tcPr>
            <w:tcW w:w="1950" w:type="dxa"/>
            <w:vMerge w:val="restart"/>
            <w:vAlign w:val="center"/>
          </w:tcPr>
          <w:p w14:paraId="00000073" w14:textId="77777777" w:rsidR="00535740" w:rsidRDefault="00000000">
            <w:pPr>
              <w:keepLines/>
              <w:widowControl/>
              <w:pBdr>
                <w:top w:val="nil"/>
                <w:left w:val="nil"/>
                <w:bottom w:val="nil"/>
                <w:right w:val="nil"/>
                <w:between w:val="nil"/>
              </w:pBdr>
              <w:spacing w:line="268" w:lineRule="auto"/>
              <w:ind w:left="60"/>
              <w:rPr>
                <w:b/>
                <w:color w:val="000000"/>
                <w:sz w:val="18"/>
                <w:szCs w:val="18"/>
              </w:rPr>
            </w:pPr>
            <w:r>
              <w:rPr>
                <w:b/>
                <w:color w:val="000000"/>
                <w:sz w:val="18"/>
                <w:szCs w:val="18"/>
              </w:rPr>
              <w:t>Rate Adjustment Clauses (i.e., trackers)</w:t>
            </w:r>
          </w:p>
        </w:tc>
        <w:tc>
          <w:tcPr>
            <w:tcW w:w="1695" w:type="dxa"/>
          </w:tcPr>
          <w:p w14:paraId="1E344252" w14:textId="77777777" w:rsidR="00BB2736" w:rsidRDefault="00000000" w:rsidP="00BB2736">
            <w:pPr>
              <w:keepLines/>
              <w:widowControl/>
              <w:pBdr>
                <w:top w:val="nil"/>
                <w:left w:val="nil"/>
                <w:bottom w:val="nil"/>
                <w:right w:val="nil"/>
                <w:between w:val="nil"/>
              </w:pBdr>
              <w:spacing w:line="207" w:lineRule="auto"/>
              <w:ind w:left="104"/>
              <w:rPr>
                <w:color w:val="000000"/>
                <w:sz w:val="18"/>
                <w:szCs w:val="18"/>
              </w:rPr>
            </w:pPr>
            <w:r w:rsidRPr="00BB2736">
              <w:rPr>
                <w:color w:val="000000"/>
                <w:sz w:val="18"/>
                <w:szCs w:val="18"/>
              </w:rPr>
              <w:t>RACs overall (general assessment of the use of RACs)</w:t>
            </w:r>
          </w:p>
          <w:p w14:paraId="480804C8" w14:textId="1909FECA" w:rsidR="00BB2736" w:rsidRDefault="00BB2736" w:rsidP="00A133CD">
            <w:pPr>
              <w:keepLines/>
              <w:widowControl/>
              <w:pBdr>
                <w:top w:val="nil"/>
                <w:left w:val="nil"/>
                <w:bottom w:val="nil"/>
                <w:right w:val="nil"/>
                <w:between w:val="nil"/>
              </w:pBdr>
              <w:spacing w:line="207" w:lineRule="auto"/>
              <w:rPr>
                <w:color w:val="000000"/>
                <w:sz w:val="18"/>
                <w:szCs w:val="18"/>
                <w:u w:val="single"/>
              </w:rPr>
            </w:pPr>
          </w:p>
          <w:p w14:paraId="00000074" w14:textId="3465C03C" w:rsidR="00BB2736" w:rsidRDefault="00BB2736" w:rsidP="00BB2736">
            <w:pPr>
              <w:keepLines/>
              <w:widowControl/>
              <w:pBdr>
                <w:top w:val="nil"/>
                <w:left w:val="nil"/>
                <w:bottom w:val="nil"/>
                <w:right w:val="nil"/>
                <w:between w:val="nil"/>
              </w:pBdr>
              <w:spacing w:line="207" w:lineRule="auto"/>
              <w:ind w:left="104"/>
              <w:rPr>
                <w:color w:val="000000"/>
                <w:sz w:val="18"/>
                <w:szCs w:val="18"/>
                <w:u w:val="single"/>
              </w:rPr>
            </w:pPr>
          </w:p>
        </w:tc>
        <w:tc>
          <w:tcPr>
            <w:tcW w:w="1080" w:type="dxa"/>
            <w:gridSpan w:val="2"/>
          </w:tcPr>
          <w:p w14:paraId="00000075" w14:textId="77777777" w:rsidR="00535740" w:rsidRPr="004C17B8" w:rsidRDefault="00000000">
            <w:pPr>
              <w:keepLines/>
              <w:widowControl/>
              <w:pBdr>
                <w:top w:val="nil"/>
                <w:left w:val="nil"/>
                <w:bottom w:val="nil"/>
                <w:right w:val="nil"/>
                <w:between w:val="nil"/>
              </w:pBdr>
              <w:jc w:val="center"/>
              <w:rPr>
                <w:rFonts w:ascii="Times New Roman" w:eastAsia="Times New Roman" w:hAnsi="Times New Roman" w:cs="Times New Roman"/>
                <w:b/>
                <w:bCs/>
                <w:color w:val="000000"/>
                <w:sz w:val="32"/>
                <w:szCs w:val="32"/>
              </w:rPr>
            </w:pPr>
            <w:r w:rsidRPr="004C17B8">
              <w:rPr>
                <w:rFonts w:ascii="Times New Roman" w:eastAsia="Times New Roman" w:hAnsi="Times New Roman" w:cs="Times New Roman"/>
                <w:b/>
                <w:bCs/>
                <w:sz w:val="32"/>
                <w:szCs w:val="32"/>
              </w:rPr>
              <w:t>-</w:t>
            </w:r>
          </w:p>
        </w:tc>
        <w:tc>
          <w:tcPr>
            <w:tcW w:w="3840" w:type="dxa"/>
          </w:tcPr>
          <w:p w14:paraId="0E7EAD0F" w14:textId="6A33F834" w:rsidR="00F70C9F" w:rsidRPr="00A133CD" w:rsidRDefault="00BB2736" w:rsidP="00A133CD">
            <w:pPr>
              <w:keepLines/>
              <w:widowControl/>
              <w:pBdr>
                <w:top w:val="nil"/>
                <w:left w:val="nil"/>
                <w:bottom w:val="nil"/>
                <w:right w:val="nil"/>
                <w:between w:val="nil"/>
              </w:pBdr>
              <w:spacing w:line="276" w:lineRule="auto"/>
              <w:rPr>
                <w:rFonts w:eastAsia="Times New Roman"/>
                <w:sz w:val="18"/>
                <w:szCs w:val="18"/>
              </w:rPr>
            </w:pPr>
            <w:r w:rsidRPr="00A133CD">
              <w:rPr>
                <w:rFonts w:eastAsia="Times New Roman"/>
                <w:sz w:val="18"/>
                <w:szCs w:val="18"/>
              </w:rPr>
              <w:t xml:space="preserve">RACs benefit the utility by </w:t>
            </w:r>
            <w:r w:rsidR="00F70C9F" w:rsidRPr="00A133CD">
              <w:rPr>
                <w:rFonts w:eastAsia="Times New Roman"/>
                <w:sz w:val="18"/>
                <w:szCs w:val="18"/>
              </w:rPr>
              <w:t>allowing the utility to recover costs more quickly but</w:t>
            </w:r>
            <w:r w:rsidRPr="00A133CD">
              <w:rPr>
                <w:rFonts w:eastAsia="Times New Roman"/>
                <w:sz w:val="18"/>
                <w:szCs w:val="18"/>
              </w:rPr>
              <w:t xml:space="preserve"> </w:t>
            </w:r>
            <w:r w:rsidR="00F70C9F" w:rsidRPr="00A133CD">
              <w:rPr>
                <w:rFonts w:eastAsia="Times New Roman"/>
                <w:sz w:val="18"/>
                <w:szCs w:val="18"/>
              </w:rPr>
              <w:t xml:space="preserve">disincentivize cost containment incentives and undermine affordability. </w:t>
            </w:r>
          </w:p>
          <w:p w14:paraId="67EA3763" w14:textId="77777777" w:rsidR="00F70C9F" w:rsidRPr="00A133CD" w:rsidRDefault="00F70C9F" w:rsidP="00A133CD">
            <w:pPr>
              <w:keepLines/>
              <w:widowControl/>
              <w:pBdr>
                <w:top w:val="nil"/>
                <w:left w:val="nil"/>
                <w:bottom w:val="nil"/>
                <w:right w:val="nil"/>
                <w:between w:val="nil"/>
              </w:pBdr>
              <w:spacing w:line="276" w:lineRule="auto"/>
              <w:rPr>
                <w:rFonts w:eastAsia="Times New Roman"/>
                <w:sz w:val="18"/>
                <w:szCs w:val="18"/>
              </w:rPr>
            </w:pPr>
          </w:p>
          <w:p w14:paraId="18802328" w14:textId="69269B94" w:rsidR="00F70C9F" w:rsidRPr="00A133CD" w:rsidRDefault="006D1BE6"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 xml:space="preserve">The ability to recover capital costs </w:t>
            </w:r>
            <w:r w:rsidR="00C966FA">
              <w:rPr>
                <w:rFonts w:eastAsia="Times New Roman"/>
                <w:sz w:val="18"/>
                <w:szCs w:val="18"/>
              </w:rPr>
              <w:t xml:space="preserve">through RACs </w:t>
            </w:r>
            <w:r w:rsidR="000C124E">
              <w:rPr>
                <w:rFonts w:eastAsia="Times New Roman"/>
                <w:sz w:val="18"/>
                <w:szCs w:val="18"/>
              </w:rPr>
              <w:t xml:space="preserve">increases utility capital bias through infrastructure investments over energy efficiency and demand response. </w:t>
            </w:r>
          </w:p>
          <w:p w14:paraId="00000077" w14:textId="7F1C35CC" w:rsidR="004C17B8" w:rsidRPr="00A133CD" w:rsidRDefault="004C17B8" w:rsidP="006D1BE6">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0C4F230F" w14:textId="00C40A04" w:rsidR="000C124E" w:rsidRPr="00A133CD" w:rsidRDefault="000C124E" w:rsidP="000C124E">
            <w:pPr>
              <w:pBdr>
                <w:top w:val="nil"/>
                <w:left w:val="nil"/>
                <w:bottom w:val="nil"/>
                <w:right w:val="nil"/>
                <w:between w:val="nil"/>
              </w:pBdr>
              <w:spacing w:line="276" w:lineRule="auto"/>
              <w:contextualSpacing/>
              <w:rPr>
                <w:rFonts w:eastAsia="Times New Roman"/>
                <w:sz w:val="18"/>
                <w:szCs w:val="18"/>
              </w:rPr>
            </w:pPr>
            <w:r w:rsidRPr="00A133CD">
              <w:rPr>
                <w:rFonts w:eastAsia="Times New Roman"/>
                <w:sz w:val="18"/>
                <w:szCs w:val="18"/>
              </w:rPr>
              <w:t>Tracking mechanisms should only be used for a very limited set of costs that are outside of a utility’s control</w:t>
            </w:r>
            <w:r w:rsidR="00E76652">
              <w:rPr>
                <w:rFonts w:eastAsia="Times New Roman"/>
                <w:sz w:val="18"/>
                <w:szCs w:val="18"/>
              </w:rPr>
              <w:t xml:space="preserve"> and strategic investments. </w:t>
            </w:r>
          </w:p>
          <w:p w14:paraId="00000081" w14:textId="1261169F" w:rsidR="004C17B8" w:rsidRPr="00A133CD" w:rsidRDefault="004C17B8"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316E08E2" w14:textId="77777777" w:rsidTr="00BB2736">
        <w:trPr>
          <w:trHeight w:val="815"/>
        </w:trPr>
        <w:tc>
          <w:tcPr>
            <w:tcW w:w="1950" w:type="dxa"/>
            <w:vMerge/>
            <w:vAlign w:val="center"/>
          </w:tcPr>
          <w:p w14:paraId="00000082"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83" w14:textId="77777777"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Fuel Cost Recovery</w:t>
            </w:r>
          </w:p>
        </w:tc>
        <w:tc>
          <w:tcPr>
            <w:tcW w:w="1080" w:type="dxa"/>
            <w:gridSpan w:val="2"/>
          </w:tcPr>
          <w:p w14:paraId="00000084" w14:textId="77777777" w:rsidR="00535740" w:rsidRPr="004C17B8" w:rsidRDefault="00000000">
            <w:pPr>
              <w:keepLines/>
              <w:widowControl/>
              <w:pBdr>
                <w:top w:val="nil"/>
                <w:left w:val="nil"/>
                <w:bottom w:val="nil"/>
                <w:right w:val="nil"/>
                <w:between w:val="nil"/>
              </w:pBdr>
              <w:jc w:val="center"/>
              <w:rPr>
                <w:rFonts w:ascii="Times New Roman" w:eastAsia="Times New Roman" w:hAnsi="Times New Roman" w:cs="Times New Roman"/>
                <w:b/>
                <w:bCs/>
                <w:color w:val="000000"/>
              </w:rPr>
            </w:pPr>
            <w:r w:rsidRPr="004C17B8">
              <w:rPr>
                <w:rFonts w:ascii="Times New Roman" w:eastAsia="Times New Roman" w:hAnsi="Times New Roman" w:cs="Times New Roman"/>
                <w:b/>
                <w:bCs/>
              </w:rPr>
              <w:t>0</w:t>
            </w:r>
          </w:p>
        </w:tc>
        <w:tc>
          <w:tcPr>
            <w:tcW w:w="3840" w:type="dxa"/>
          </w:tcPr>
          <w:p w14:paraId="00000086" w14:textId="55C3CA62" w:rsidR="00535740" w:rsidRPr="00A133CD" w:rsidRDefault="00A133CD"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The fuel cost recovery approach d</w:t>
            </w:r>
            <w:r w:rsidRPr="00A133CD">
              <w:rPr>
                <w:rFonts w:eastAsia="Times New Roman"/>
                <w:sz w:val="18"/>
                <w:szCs w:val="18"/>
              </w:rPr>
              <w:t>oes not have a direct impact on this outcome</w:t>
            </w:r>
            <w:r>
              <w:rPr>
                <w:rFonts w:eastAsia="Times New Roman"/>
                <w:sz w:val="18"/>
                <w:szCs w:val="18"/>
              </w:rPr>
              <w:t xml:space="preserve">. </w:t>
            </w:r>
          </w:p>
        </w:tc>
        <w:tc>
          <w:tcPr>
            <w:tcW w:w="4710" w:type="dxa"/>
          </w:tcPr>
          <w:p w14:paraId="00000087" w14:textId="77777777" w:rsidR="00535740" w:rsidRPr="00A133CD" w:rsidRDefault="00000000"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sz w:val="18"/>
                <w:szCs w:val="18"/>
              </w:rPr>
              <w:t xml:space="preserve">. </w:t>
            </w:r>
          </w:p>
        </w:tc>
      </w:tr>
      <w:tr w:rsidR="00535740" w14:paraId="65578C62" w14:textId="77777777" w:rsidTr="006D1BE6">
        <w:trPr>
          <w:trHeight w:val="635"/>
        </w:trPr>
        <w:tc>
          <w:tcPr>
            <w:tcW w:w="1950" w:type="dxa"/>
            <w:vMerge/>
            <w:vAlign w:val="center"/>
          </w:tcPr>
          <w:p w14:paraId="00000088"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89" w14:textId="77777777"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Purchased power</w:t>
            </w:r>
          </w:p>
        </w:tc>
        <w:tc>
          <w:tcPr>
            <w:tcW w:w="1080" w:type="dxa"/>
            <w:gridSpan w:val="2"/>
          </w:tcPr>
          <w:p w14:paraId="0000008A" w14:textId="77777777" w:rsidR="00535740" w:rsidRPr="004C17B8" w:rsidRDefault="00000000">
            <w:pPr>
              <w:keepLines/>
              <w:widowControl/>
              <w:pBdr>
                <w:top w:val="nil"/>
                <w:left w:val="nil"/>
                <w:bottom w:val="nil"/>
                <w:right w:val="nil"/>
                <w:between w:val="nil"/>
              </w:pBdr>
              <w:jc w:val="center"/>
              <w:rPr>
                <w:rFonts w:ascii="Times New Roman" w:eastAsia="Times New Roman" w:hAnsi="Times New Roman" w:cs="Times New Roman"/>
                <w:b/>
                <w:bCs/>
                <w:color w:val="000000"/>
              </w:rPr>
            </w:pPr>
            <w:r w:rsidRPr="004C17B8">
              <w:rPr>
                <w:rFonts w:ascii="Times New Roman" w:eastAsia="Times New Roman" w:hAnsi="Times New Roman" w:cs="Times New Roman"/>
                <w:b/>
                <w:bCs/>
              </w:rPr>
              <w:t>0</w:t>
            </w:r>
          </w:p>
        </w:tc>
        <w:tc>
          <w:tcPr>
            <w:tcW w:w="3840" w:type="dxa"/>
          </w:tcPr>
          <w:p w14:paraId="0000008C" w14:textId="5337F422" w:rsidR="00535740" w:rsidRPr="00A133CD" w:rsidRDefault="00A133CD" w:rsidP="00A133CD">
            <w:pPr>
              <w:keepLines/>
              <w:widowControl/>
              <w:spacing w:line="276" w:lineRule="auto"/>
              <w:rPr>
                <w:rFonts w:eastAsia="Times New Roman"/>
                <w:color w:val="000000"/>
                <w:sz w:val="18"/>
                <w:szCs w:val="18"/>
              </w:rPr>
            </w:pPr>
            <w:r>
              <w:rPr>
                <w:rFonts w:eastAsia="Times New Roman"/>
                <w:sz w:val="18"/>
                <w:szCs w:val="18"/>
              </w:rPr>
              <w:t>The recovery of purchased power d</w:t>
            </w:r>
            <w:r w:rsidRPr="00A133CD">
              <w:rPr>
                <w:rFonts w:eastAsia="Times New Roman"/>
                <w:sz w:val="18"/>
                <w:szCs w:val="18"/>
              </w:rPr>
              <w:t xml:space="preserve">oes not have a direct impact on this outcome. </w:t>
            </w:r>
          </w:p>
        </w:tc>
        <w:tc>
          <w:tcPr>
            <w:tcW w:w="4710" w:type="dxa"/>
          </w:tcPr>
          <w:p w14:paraId="0000008D"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6AB173F9" w14:textId="77777777" w:rsidTr="00C966FA">
        <w:trPr>
          <w:trHeight w:val="1607"/>
        </w:trPr>
        <w:tc>
          <w:tcPr>
            <w:tcW w:w="1950" w:type="dxa"/>
            <w:vMerge/>
            <w:vAlign w:val="center"/>
          </w:tcPr>
          <w:p w14:paraId="0000008E"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8F" w14:textId="77777777"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Demand response program costs</w:t>
            </w:r>
          </w:p>
        </w:tc>
        <w:tc>
          <w:tcPr>
            <w:tcW w:w="1080" w:type="dxa"/>
            <w:gridSpan w:val="2"/>
          </w:tcPr>
          <w:p w14:paraId="00000090" w14:textId="5FF8ECF7" w:rsidR="00535740" w:rsidRPr="004C17B8" w:rsidRDefault="006D1BE6">
            <w:pPr>
              <w:keepLines/>
              <w:widowControl/>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rPr>
              <w:t>+</w:t>
            </w:r>
          </w:p>
        </w:tc>
        <w:tc>
          <w:tcPr>
            <w:tcW w:w="3840" w:type="dxa"/>
          </w:tcPr>
          <w:p w14:paraId="00000092" w14:textId="22C504A7" w:rsidR="00535740" w:rsidRPr="00A133CD" w:rsidRDefault="006D1BE6"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The ability for utilities to recover costs associated with demand response does not necessarily create an incentive</w:t>
            </w:r>
            <w:r w:rsidR="00C966FA">
              <w:rPr>
                <w:rFonts w:eastAsia="Times New Roman"/>
                <w:sz w:val="18"/>
                <w:szCs w:val="18"/>
              </w:rPr>
              <w:t xml:space="preserve"> for utilities, the ability for utilities to recover costs on an ongoing basis is more beneficial than if the costs were recovered in base rates. </w:t>
            </w:r>
          </w:p>
        </w:tc>
        <w:tc>
          <w:tcPr>
            <w:tcW w:w="4710" w:type="dxa"/>
          </w:tcPr>
          <w:p w14:paraId="00000093" w14:textId="2C7A8301"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34BB18A2" w14:textId="77777777" w:rsidTr="00C966FA">
        <w:trPr>
          <w:trHeight w:val="707"/>
        </w:trPr>
        <w:tc>
          <w:tcPr>
            <w:tcW w:w="1950" w:type="dxa"/>
            <w:vMerge/>
            <w:vAlign w:val="center"/>
          </w:tcPr>
          <w:p w14:paraId="00000094"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95" w14:textId="77777777" w:rsidR="00535740" w:rsidRDefault="00000000">
            <w:pPr>
              <w:keepLines/>
              <w:widowControl/>
              <w:pBdr>
                <w:top w:val="nil"/>
                <w:left w:val="nil"/>
                <w:bottom w:val="nil"/>
                <w:right w:val="nil"/>
                <w:between w:val="nil"/>
              </w:pBdr>
              <w:spacing w:line="207" w:lineRule="auto"/>
              <w:ind w:left="104"/>
              <w:jc w:val="center"/>
              <w:rPr>
                <w:color w:val="000000"/>
                <w:sz w:val="18"/>
                <w:szCs w:val="18"/>
              </w:rPr>
            </w:pPr>
            <w:r>
              <w:rPr>
                <w:color w:val="000000"/>
                <w:sz w:val="18"/>
                <w:szCs w:val="18"/>
              </w:rPr>
              <w:t>RPS compliance costs</w:t>
            </w:r>
          </w:p>
        </w:tc>
        <w:tc>
          <w:tcPr>
            <w:tcW w:w="1080" w:type="dxa"/>
            <w:gridSpan w:val="2"/>
          </w:tcPr>
          <w:p w14:paraId="00000096" w14:textId="77777777" w:rsidR="00535740" w:rsidRPr="004C17B8" w:rsidRDefault="00000000">
            <w:pPr>
              <w:keepLines/>
              <w:widowControl/>
              <w:pBdr>
                <w:top w:val="nil"/>
                <w:left w:val="nil"/>
                <w:bottom w:val="nil"/>
                <w:right w:val="nil"/>
                <w:between w:val="nil"/>
              </w:pBdr>
              <w:jc w:val="center"/>
              <w:rPr>
                <w:rFonts w:ascii="Times New Roman" w:eastAsia="Times New Roman" w:hAnsi="Times New Roman" w:cs="Times New Roman"/>
                <w:b/>
                <w:bCs/>
                <w:color w:val="000000"/>
              </w:rPr>
            </w:pPr>
            <w:r w:rsidRPr="004C17B8">
              <w:rPr>
                <w:rFonts w:ascii="Times New Roman" w:eastAsia="Times New Roman" w:hAnsi="Times New Roman" w:cs="Times New Roman"/>
                <w:b/>
                <w:bCs/>
              </w:rPr>
              <w:t>0</w:t>
            </w:r>
          </w:p>
        </w:tc>
        <w:tc>
          <w:tcPr>
            <w:tcW w:w="3840" w:type="dxa"/>
          </w:tcPr>
          <w:p w14:paraId="00000098" w14:textId="59E3A699" w:rsidR="00535740" w:rsidRPr="00A133CD" w:rsidRDefault="00A133CD"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The recovery of RPS compliance costs do</w:t>
            </w:r>
            <w:r w:rsidR="00C966FA">
              <w:rPr>
                <w:rFonts w:eastAsia="Times New Roman"/>
                <w:sz w:val="18"/>
                <w:szCs w:val="18"/>
              </w:rPr>
              <w:t>es</w:t>
            </w:r>
            <w:r w:rsidRPr="00A133CD">
              <w:rPr>
                <w:rFonts w:eastAsia="Times New Roman"/>
                <w:sz w:val="18"/>
                <w:szCs w:val="18"/>
              </w:rPr>
              <w:t xml:space="preserve"> not have a direct impact on this outcome</w:t>
            </w:r>
            <w:r w:rsidR="00C966FA">
              <w:rPr>
                <w:rFonts w:eastAsia="Times New Roman"/>
                <w:sz w:val="18"/>
                <w:szCs w:val="18"/>
              </w:rPr>
              <w:t>.</w:t>
            </w:r>
          </w:p>
        </w:tc>
        <w:tc>
          <w:tcPr>
            <w:tcW w:w="4710" w:type="dxa"/>
          </w:tcPr>
          <w:p w14:paraId="00000099" w14:textId="77777777" w:rsidR="00535740" w:rsidRPr="00A133CD" w:rsidRDefault="00535740" w:rsidP="00A133CD">
            <w:pPr>
              <w:keepLines/>
              <w:widowControl/>
              <w:pBdr>
                <w:top w:val="nil"/>
                <w:left w:val="nil"/>
                <w:bottom w:val="nil"/>
                <w:right w:val="nil"/>
                <w:between w:val="nil"/>
              </w:pBdr>
              <w:spacing w:line="276" w:lineRule="auto"/>
              <w:rPr>
                <w:rFonts w:eastAsia="Times New Roman"/>
                <w:sz w:val="18"/>
                <w:szCs w:val="18"/>
              </w:rPr>
            </w:pPr>
          </w:p>
        </w:tc>
      </w:tr>
      <w:tr w:rsidR="00535740" w14:paraId="08ACDE64" w14:textId="77777777" w:rsidTr="00BB2736">
        <w:trPr>
          <w:trHeight w:val="600"/>
        </w:trPr>
        <w:tc>
          <w:tcPr>
            <w:tcW w:w="1950" w:type="dxa"/>
            <w:vMerge/>
            <w:vAlign w:val="center"/>
          </w:tcPr>
          <w:p w14:paraId="0000009A"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9B" w14:textId="77777777" w:rsidR="00535740" w:rsidRDefault="00000000" w:rsidP="00C966FA">
            <w:pPr>
              <w:keepLines/>
              <w:widowControl/>
              <w:pBdr>
                <w:top w:val="nil"/>
                <w:left w:val="nil"/>
                <w:bottom w:val="nil"/>
                <w:right w:val="nil"/>
                <w:between w:val="nil"/>
              </w:pBdr>
              <w:spacing w:line="207" w:lineRule="auto"/>
              <w:ind w:left="104"/>
              <w:rPr>
                <w:color w:val="000000"/>
                <w:sz w:val="18"/>
                <w:szCs w:val="18"/>
              </w:rPr>
            </w:pPr>
            <w:r>
              <w:rPr>
                <w:color w:val="000000"/>
                <w:sz w:val="18"/>
                <w:szCs w:val="18"/>
              </w:rPr>
              <w:t>Broadband capacity extension</w:t>
            </w:r>
          </w:p>
        </w:tc>
        <w:tc>
          <w:tcPr>
            <w:tcW w:w="1080" w:type="dxa"/>
            <w:gridSpan w:val="2"/>
          </w:tcPr>
          <w:p w14:paraId="0000009C" w14:textId="15871008" w:rsidR="00535740" w:rsidRPr="004C17B8" w:rsidRDefault="00C966FA" w:rsidP="00C966FA">
            <w:pPr>
              <w:keepLines/>
              <w:widowControl/>
              <w:pBdr>
                <w:top w:val="nil"/>
                <w:left w:val="nil"/>
                <w:bottom w:val="nil"/>
                <w:right w:val="nil"/>
                <w:between w:val="nil"/>
              </w:pBdr>
              <w:jc w:val="center"/>
              <w:rPr>
                <w:rFonts w:ascii="Times New Roman" w:eastAsia="Times New Roman" w:hAnsi="Times New Roman" w:cs="Times New Roman"/>
                <w:b/>
                <w:bCs/>
                <w:color w:val="000000"/>
              </w:rPr>
            </w:pPr>
            <w:r w:rsidRPr="004C17B8">
              <w:rPr>
                <w:rFonts w:ascii="Times New Roman" w:eastAsia="Times New Roman" w:hAnsi="Times New Roman" w:cs="Times New Roman"/>
                <w:b/>
                <w:bCs/>
              </w:rPr>
              <w:t>0</w:t>
            </w:r>
          </w:p>
        </w:tc>
        <w:tc>
          <w:tcPr>
            <w:tcW w:w="3840" w:type="dxa"/>
          </w:tcPr>
          <w:p w14:paraId="0000009E" w14:textId="558EA400" w:rsidR="00535740" w:rsidRPr="00A133CD" w:rsidRDefault="00C966FA"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The recovery of broadband capacity extension costs does</w:t>
            </w:r>
            <w:r w:rsidRPr="00A133CD">
              <w:rPr>
                <w:rFonts w:eastAsia="Times New Roman"/>
                <w:sz w:val="18"/>
                <w:szCs w:val="18"/>
              </w:rPr>
              <w:t xml:space="preserve"> not have a direct impact on this outcome</w:t>
            </w:r>
            <w:r>
              <w:rPr>
                <w:rFonts w:eastAsia="Times New Roman"/>
                <w:sz w:val="18"/>
                <w:szCs w:val="18"/>
              </w:rPr>
              <w:t>.</w:t>
            </w:r>
          </w:p>
        </w:tc>
        <w:tc>
          <w:tcPr>
            <w:tcW w:w="4710" w:type="dxa"/>
          </w:tcPr>
          <w:p w14:paraId="0000009F"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6ADC4624" w14:textId="77777777" w:rsidTr="00BB2736">
        <w:trPr>
          <w:trHeight w:val="785"/>
        </w:trPr>
        <w:tc>
          <w:tcPr>
            <w:tcW w:w="1950" w:type="dxa"/>
            <w:vMerge/>
            <w:vAlign w:val="center"/>
          </w:tcPr>
          <w:p w14:paraId="000000A0"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A1" w14:textId="77777777" w:rsidR="00535740" w:rsidRDefault="00000000">
            <w:pPr>
              <w:keepLines/>
              <w:widowControl/>
              <w:pBdr>
                <w:top w:val="nil"/>
                <w:left w:val="nil"/>
                <w:bottom w:val="nil"/>
                <w:right w:val="nil"/>
                <w:between w:val="nil"/>
              </w:pBdr>
              <w:spacing w:line="207" w:lineRule="auto"/>
              <w:ind w:left="104"/>
              <w:jc w:val="center"/>
              <w:rPr>
                <w:color w:val="000000"/>
                <w:sz w:val="18"/>
                <w:szCs w:val="18"/>
              </w:rPr>
            </w:pPr>
            <w:r>
              <w:rPr>
                <w:color w:val="000000"/>
                <w:sz w:val="18"/>
                <w:szCs w:val="18"/>
              </w:rPr>
              <w:t>Low-income programs (lost revenue recovery)</w:t>
            </w:r>
          </w:p>
        </w:tc>
        <w:tc>
          <w:tcPr>
            <w:tcW w:w="1080" w:type="dxa"/>
            <w:gridSpan w:val="2"/>
          </w:tcPr>
          <w:p w14:paraId="000000A2" w14:textId="77777777" w:rsidR="00535740" w:rsidRPr="004C17B8" w:rsidRDefault="00000000">
            <w:pPr>
              <w:keepLines/>
              <w:widowControl/>
              <w:pBdr>
                <w:top w:val="nil"/>
                <w:left w:val="nil"/>
                <w:bottom w:val="nil"/>
                <w:right w:val="nil"/>
                <w:between w:val="nil"/>
              </w:pBdr>
              <w:jc w:val="center"/>
              <w:rPr>
                <w:rFonts w:ascii="Times New Roman" w:eastAsia="Times New Roman" w:hAnsi="Times New Roman" w:cs="Times New Roman"/>
                <w:b/>
                <w:bCs/>
                <w:color w:val="000000"/>
              </w:rPr>
            </w:pPr>
            <w:r w:rsidRPr="004C17B8">
              <w:rPr>
                <w:rFonts w:ascii="Times New Roman" w:eastAsia="Times New Roman" w:hAnsi="Times New Roman" w:cs="Times New Roman"/>
                <w:b/>
                <w:bCs/>
              </w:rPr>
              <w:t>0</w:t>
            </w:r>
          </w:p>
        </w:tc>
        <w:tc>
          <w:tcPr>
            <w:tcW w:w="3840" w:type="dxa"/>
          </w:tcPr>
          <w:p w14:paraId="000000A4" w14:textId="600CA1D0" w:rsidR="00535740" w:rsidRPr="00A133CD" w:rsidRDefault="00A133CD"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The recovery of low-income programs do</w:t>
            </w:r>
            <w:r w:rsidR="00C966FA">
              <w:rPr>
                <w:rFonts w:eastAsia="Times New Roman"/>
                <w:sz w:val="18"/>
                <w:szCs w:val="18"/>
              </w:rPr>
              <w:t>es</w:t>
            </w:r>
            <w:r>
              <w:rPr>
                <w:rFonts w:eastAsia="Times New Roman"/>
                <w:sz w:val="18"/>
                <w:szCs w:val="18"/>
              </w:rPr>
              <w:t xml:space="preserve"> </w:t>
            </w:r>
            <w:r w:rsidRPr="00A133CD">
              <w:rPr>
                <w:rFonts w:eastAsia="Times New Roman"/>
                <w:sz w:val="18"/>
                <w:szCs w:val="18"/>
              </w:rPr>
              <w:t>not have a direct impact on this outcome.</w:t>
            </w:r>
            <w:r>
              <w:rPr>
                <w:rFonts w:eastAsia="Times New Roman"/>
                <w:sz w:val="18"/>
                <w:szCs w:val="18"/>
              </w:rPr>
              <w:t xml:space="preserve"> </w:t>
            </w:r>
          </w:p>
        </w:tc>
        <w:tc>
          <w:tcPr>
            <w:tcW w:w="4710" w:type="dxa"/>
          </w:tcPr>
          <w:p w14:paraId="000000A5" w14:textId="77777777" w:rsidR="00535740" w:rsidRPr="00A133CD" w:rsidRDefault="00000000"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sz w:val="18"/>
                <w:szCs w:val="18"/>
              </w:rPr>
              <w:t xml:space="preserve"> </w:t>
            </w:r>
          </w:p>
        </w:tc>
      </w:tr>
      <w:tr w:rsidR="00535740" w14:paraId="1F7BCC8A" w14:textId="77777777" w:rsidTr="00BB2736">
        <w:tc>
          <w:tcPr>
            <w:tcW w:w="1950" w:type="dxa"/>
            <w:vMerge/>
            <w:vAlign w:val="center"/>
          </w:tcPr>
          <w:p w14:paraId="000000A6"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A7" w14:textId="77777777"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Capital projects (e.g., combined cycle gas projects, offshore wind, solar, distribution system undergrounding, distribution grid transformation, nuclear life extension, etc.)</w:t>
            </w:r>
          </w:p>
        </w:tc>
        <w:tc>
          <w:tcPr>
            <w:tcW w:w="1080" w:type="dxa"/>
            <w:gridSpan w:val="2"/>
          </w:tcPr>
          <w:p w14:paraId="000000A8" w14:textId="46BBF2AE" w:rsidR="00535740" w:rsidRPr="00A133CD" w:rsidRDefault="00535740" w:rsidP="00A133CD">
            <w:pPr>
              <w:pStyle w:val="ListParagraph"/>
              <w:keepLines/>
              <w:widowControl/>
              <w:numPr>
                <w:ilvl w:val="0"/>
                <w:numId w:val="3"/>
              </w:numPr>
              <w:pBdr>
                <w:top w:val="nil"/>
                <w:left w:val="nil"/>
                <w:bottom w:val="nil"/>
                <w:right w:val="nil"/>
                <w:between w:val="nil"/>
              </w:pBdr>
              <w:rPr>
                <w:rFonts w:ascii="Times New Roman" w:eastAsia="Times New Roman" w:hAnsi="Times New Roman" w:cs="Times New Roman"/>
                <w:b/>
                <w:bCs/>
                <w:color w:val="000000"/>
                <w:sz w:val="32"/>
                <w:szCs w:val="32"/>
              </w:rPr>
            </w:pPr>
          </w:p>
        </w:tc>
        <w:tc>
          <w:tcPr>
            <w:tcW w:w="3840" w:type="dxa"/>
          </w:tcPr>
          <w:p w14:paraId="000000AA" w14:textId="58DE858A" w:rsidR="00535740" w:rsidRPr="00A133CD" w:rsidRDefault="00A133CD"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sz w:val="18"/>
                <w:szCs w:val="18"/>
              </w:rPr>
              <w:t>(</w:t>
            </w:r>
            <w:r w:rsidRPr="00A133CD">
              <w:rPr>
                <w:rFonts w:eastAsia="Times New Roman"/>
                <w:sz w:val="18"/>
                <w:szCs w:val="18"/>
              </w:rPr>
              <w:t>Same as RACs above)</w:t>
            </w:r>
          </w:p>
        </w:tc>
        <w:tc>
          <w:tcPr>
            <w:tcW w:w="4710" w:type="dxa"/>
          </w:tcPr>
          <w:p w14:paraId="000000AB" w14:textId="77777777" w:rsidR="00535740" w:rsidRPr="00A133CD" w:rsidRDefault="00000000" w:rsidP="00A133CD">
            <w:pPr>
              <w:keepLines/>
              <w:widowControl/>
              <w:pBdr>
                <w:top w:val="nil"/>
                <w:left w:val="nil"/>
                <w:bottom w:val="nil"/>
                <w:right w:val="nil"/>
                <w:between w:val="nil"/>
              </w:pBdr>
              <w:spacing w:line="276" w:lineRule="auto"/>
              <w:rPr>
                <w:rFonts w:eastAsia="Times New Roman"/>
                <w:sz w:val="18"/>
                <w:szCs w:val="18"/>
              </w:rPr>
            </w:pPr>
            <w:r w:rsidRPr="00A133CD">
              <w:rPr>
                <w:rFonts w:eastAsia="Times New Roman"/>
                <w:sz w:val="18"/>
                <w:szCs w:val="18"/>
              </w:rPr>
              <w:t>(Same as RACs above)</w:t>
            </w:r>
          </w:p>
          <w:p w14:paraId="000000AD" w14:textId="6BA882E9" w:rsidR="00535740" w:rsidRPr="00A133CD" w:rsidRDefault="00535740" w:rsidP="00A133CD">
            <w:pPr>
              <w:keepLines/>
              <w:widowControl/>
              <w:pBdr>
                <w:top w:val="nil"/>
                <w:left w:val="nil"/>
                <w:bottom w:val="nil"/>
                <w:right w:val="nil"/>
                <w:between w:val="nil"/>
              </w:pBdr>
              <w:spacing w:line="276" w:lineRule="auto"/>
              <w:rPr>
                <w:rFonts w:eastAsia="Times New Roman"/>
                <w:sz w:val="18"/>
                <w:szCs w:val="18"/>
              </w:rPr>
            </w:pPr>
          </w:p>
        </w:tc>
      </w:tr>
      <w:tr w:rsidR="00535740" w14:paraId="6B628E8A" w14:textId="77777777" w:rsidTr="00BB2736">
        <w:trPr>
          <w:trHeight w:val="680"/>
        </w:trPr>
        <w:tc>
          <w:tcPr>
            <w:tcW w:w="1950" w:type="dxa"/>
            <w:vMerge w:val="restart"/>
            <w:tcBorders>
              <w:top w:val="dashed" w:sz="4" w:space="0" w:color="000000"/>
            </w:tcBorders>
          </w:tcPr>
          <w:p w14:paraId="000000AE" w14:textId="77777777" w:rsidR="00535740" w:rsidRDefault="00000000">
            <w:pPr>
              <w:keepLines/>
              <w:widowControl/>
              <w:pBdr>
                <w:top w:val="nil"/>
                <w:left w:val="nil"/>
                <w:bottom w:val="nil"/>
                <w:right w:val="nil"/>
                <w:between w:val="nil"/>
              </w:pBdr>
              <w:spacing w:line="268" w:lineRule="auto"/>
              <w:ind w:left="60"/>
              <w:rPr>
                <w:b/>
                <w:color w:val="000000"/>
                <w:sz w:val="18"/>
                <w:szCs w:val="18"/>
              </w:rPr>
            </w:pPr>
            <w:r>
              <w:rPr>
                <w:b/>
                <w:color w:val="000000"/>
                <w:sz w:val="18"/>
                <w:szCs w:val="18"/>
              </w:rPr>
              <w:t>Other trackers</w:t>
            </w:r>
            <w:r>
              <w:rPr>
                <w:color w:val="000000"/>
                <w:sz w:val="18"/>
                <w:szCs w:val="18"/>
              </w:rPr>
              <w:t xml:space="preserve"> (user choice to select additional trackers used in Virginia rate making for attention)</w:t>
            </w:r>
          </w:p>
        </w:tc>
        <w:tc>
          <w:tcPr>
            <w:tcW w:w="1695" w:type="dxa"/>
          </w:tcPr>
          <w:p w14:paraId="000000AF" w14:textId="77777777" w:rsidR="00535740" w:rsidRDefault="00535740">
            <w:pPr>
              <w:keepLines/>
              <w:widowControl/>
              <w:pBdr>
                <w:top w:val="nil"/>
                <w:left w:val="nil"/>
                <w:bottom w:val="nil"/>
                <w:right w:val="nil"/>
                <w:between w:val="nil"/>
              </w:pBdr>
              <w:spacing w:line="207" w:lineRule="auto"/>
              <w:ind w:left="180"/>
              <w:rPr>
                <w:color w:val="000000"/>
                <w:sz w:val="18"/>
                <w:szCs w:val="18"/>
              </w:rPr>
            </w:pPr>
          </w:p>
        </w:tc>
        <w:tc>
          <w:tcPr>
            <w:tcW w:w="1080" w:type="dxa"/>
            <w:gridSpan w:val="2"/>
          </w:tcPr>
          <w:p w14:paraId="000000B0" w14:textId="77777777" w:rsidR="00535740" w:rsidRDefault="00535740">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000000B2"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000000B3"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3F033E1E" w14:textId="77777777" w:rsidTr="00BB2736">
        <w:tc>
          <w:tcPr>
            <w:tcW w:w="1950" w:type="dxa"/>
            <w:vMerge/>
            <w:tcBorders>
              <w:top w:val="dashed" w:sz="4" w:space="0" w:color="000000"/>
            </w:tcBorders>
          </w:tcPr>
          <w:p w14:paraId="000000B4"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B5" w14:textId="77777777" w:rsidR="00535740" w:rsidRDefault="00535740">
            <w:pPr>
              <w:keepLines/>
              <w:widowControl/>
              <w:pBdr>
                <w:top w:val="nil"/>
                <w:left w:val="nil"/>
                <w:bottom w:val="nil"/>
                <w:right w:val="nil"/>
                <w:between w:val="nil"/>
              </w:pBdr>
              <w:spacing w:line="207" w:lineRule="auto"/>
              <w:ind w:left="180"/>
              <w:rPr>
                <w:color w:val="000000"/>
                <w:sz w:val="18"/>
                <w:szCs w:val="18"/>
              </w:rPr>
            </w:pPr>
          </w:p>
        </w:tc>
        <w:tc>
          <w:tcPr>
            <w:tcW w:w="1080" w:type="dxa"/>
            <w:gridSpan w:val="2"/>
          </w:tcPr>
          <w:p w14:paraId="000000B6" w14:textId="77777777" w:rsidR="00535740" w:rsidRDefault="00535740">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000000B8"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000000B9"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7A72D3A5" w14:textId="77777777" w:rsidTr="00BB2736">
        <w:tc>
          <w:tcPr>
            <w:tcW w:w="1950" w:type="dxa"/>
          </w:tcPr>
          <w:p w14:paraId="000000BA" w14:textId="77777777" w:rsidR="00535740" w:rsidRDefault="00000000">
            <w:pPr>
              <w:keepLines/>
              <w:widowControl/>
              <w:pBdr>
                <w:top w:val="nil"/>
                <w:left w:val="nil"/>
                <w:bottom w:val="nil"/>
                <w:right w:val="nil"/>
                <w:between w:val="nil"/>
              </w:pBdr>
              <w:spacing w:line="268" w:lineRule="auto"/>
              <w:ind w:left="60"/>
              <w:rPr>
                <w:b/>
                <w:color w:val="000000"/>
                <w:sz w:val="18"/>
                <w:szCs w:val="18"/>
              </w:rPr>
            </w:pPr>
            <w:r>
              <w:rPr>
                <w:b/>
                <w:color w:val="000000"/>
                <w:sz w:val="18"/>
                <w:szCs w:val="18"/>
              </w:rPr>
              <w:t>Transmission cost recovery (FERC formula rates)</w:t>
            </w:r>
          </w:p>
        </w:tc>
        <w:tc>
          <w:tcPr>
            <w:tcW w:w="1695" w:type="dxa"/>
          </w:tcPr>
          <w:p w14:paraId="000000BB" w14:textId="77777777" w:rsidR="00535740" w:rsidRDefault="00000000">
            <w:pPr>
              <w:keepLines/>
              <w:widowControl/>
              <w:pBdr>
                <w:top w:val="nil"/>
                <w:left w:val="nil"/>
                <w:bottom w:val="nil"/>
                <w:right w:val="nil"/>
                <w:between w:val="nil"/>
              </w:pBdr>
              <w:spacing w:line="207" w:lineRule="auto"/>
              <w:ind w:left="90"/>
              <w:rPr>
                <w:color w:val="000000"/>
                <w:sz w:val="18"/>
                <w:szCs w:val="18"/>
              </w:rPr>
            </w:pPr>
            <w:r>
              <w:rPr>
                <w:color w:val="000000"/>
                <w:sz w:val="18"/>
                <w:szCs w:val="18"/>
              </w:rPr>
              <w:t xml:space="preserve">   </w:t>
            </w:r>
          </w:p>
        </w:tc>
        <w:tc>
          <w:tcPr>
            <w:tcW w:w="1080" w:type="dxa"/>
            <w:gridSpan w:val="2"/>
          </w:tcPr>
          <w:p w14:paraId="000000BC" w14:textId="3F3171FF" w:rsidR="00535740" w:rsidRDefault="0096392F" w:rsidP="0096392F">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sidRPr="004C17B8">
              <w:rPr>
                <w:rFonts w:ascii="Times New Roman" w:eastAsia="Times New Roman" w:hAnsi="Times New Roman" w:cs="Times New Roman"/>
                <w:b/>
                <w:bCs/>
              </w:rPr>
              <w:t>0</w:t>
            </w:r>
          </w:p>
        </w:tc>
        <w:tc>
          <w:tcPr>
            <w:tcW w:w="3840" w:type="dxa"/>
          </w:tcPr>
          <w:p w14:paraId="000000BE" w14:textId="4BF0B173" w:rsidR="00535740" w:rsidRPr="00A133CD" w:rsidRDefault="0096392F"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Transmission cost recover does not have a direct impact on this outcome.</w:t>
            </w:r>
          </w:p>
        </w:tc>
        <w:tc>
          <w:tcPr>
            <w:tcW w:w="4710" w:type="dxa"/>
          </w:tcPr>
          <w:p w14:paraId="000000BF" w14:textId="777777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222E5D79" w14:textId="77777777" w:rsidTr="00BB2736">
        <w:trPr>
          <w:trHeight w:val="462"/>
        </w:trPr>
        <w:tc>
          <w:tcPr>
            <w:tcW w:w="1950" w:type="dxa"/>
            <w:vMerge w:val="restart"/>
            <w:vAlign w:val="center"/>
          </w:tcPr>
          <w:p w14:paraId="000000C0" w14:textId="77777777" w:rsidR="00535740" w:rsidRDefault="00000000">
            <w:pPr>
              <w:keepLines/>
              <w:widowControl/>
              <w:pBdr>
                <w:top w:val="nil"/>
                <w:left w:val="nil"/>
                <w:bottom w:val="nil"/>
                <w:right w:val="nil"/>
                <w:between w:val="nil"/>
              </w:pBdr>
              <w:spacing w:line="268" w:lineRule="auto"/>
              <w:ind w:left="60"/>
              <w:rPr>
                <w:b/>
                <w:color w:val="000000"/>
                <w:sz w:val="18"/>
                <w:szCs w:val="18"/>
              </w:rPr>
            </w:pPr>
            <w:r>
              <w:rPr>
                <w:b/>
                <w:color w:val="000000"/>
                <w:sz w:val="18"/>
                <w:szCs w:val="18"/>
              </w:rPr>
              <w:t>Performance adjustments and measurement</w:t>
            </w:r>
          </w:p>
        </w:tc>
        <w:tc>
          <w:tcPr>
            <w:tcW w:w="1695" w:type="dxa"/>
          </w:tcPr>
          <w:p w14:paraId="000000C1" w14:textId="77777777"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ROE adjustment mechanisms</w:t>
            </w:r>
          </w:p>
        </w:tc>
        <w:tc>
          <w:tcPr>
            <w:tcW w:w="1080" w:type="dxa"/>
            <w:gridSpan w:val="2"/>
          </w:tcPr>
          <w:p w14:paraId="000000C2" w14:textId="77777777" w:rsidR="00535740" w:rsidRDefault="00535740">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000000C7" w14:textId="77777777" w:rsidR="00535740" w:rsidRPr="00A133CD" w:rsidRDefault="00535740" w:rsidP="00A133CD">
            <w:pPr>
              <w:keepLines/>
              <w:widowControl/>
              <w:pBdr>
                <w:top w:val="nil"/>
                <w:left w:val="nil"/>
                <w:bottom w:val="nil"/>
                <w:right w:val="nil"/>
                <w:between w:val="nil"/>
              </w:pBdr>
              <w:spacing w:line="276" w:lineRule="auto"/>
              <w:rPr>
                <w:rFonts w:eastAsia="Times New Roman"/>
                <w:sz w:val="18"/>
                <w:szCs w:val="18"/>
              </w:rPr>
            </w:pPr>
          </w:p>
        </w:tc>
        <w:tc>
          <w:tcPr>
            <w:tcW w:w="4710" w:type="dxa"/>
          </w:tcPr>
          <w:p w14:paraId="000000D1" w14:textId="2F5EFE3C" w:rsidR="00535740" w:rsidRPr="00A133CD" w:rsidRDefault="00000000" w:rsidP="00A133CD">
            <w:pPr>
              <w:keepLines/>
              <w:widowControl/>
              <w:pBdr>
                <w:top w:val="nil"/>
                <w:left w:val="nil"/>
                <w:bottom w:val="nil"/>
                <w:right w:val="nil"/>
                <w:between w:val="nil"/>
              </w:pBdr>
              <w:spacing w:line="276" w:lineRule="auto"/>
              <w:rPr>
                <w:rFonts w:eastAsia="Times New Roman"/>
                <w:sz w:val="18"/>
                <w:szCs w:val="18"/>
              </w:rPr>
            </w:pPr>
            <w:r w:rsidRPr="00A133CD">
              <w:rPr>
                <w:rFonts w:eastAsia="Times New Roman"/>
                <w:sz w:val="18"/>
                <w:szCs w:val="18"/>
              </w:rPr>
              <w:t xml:space="preserve"> </w:t>
            </w:r>
          </w:p>
        </w:tc>
      </w:tr>
      <w:tr w:rsidR="00535740" w14:paraId="67C4C099" w14:textId="77777777" w:rsidTr="00BB2736">
        <w:tc>
          <w:tcPr>
            <w:tcW w:w="1950" w:type="dxa"/>
            <w:vMerge/>
            <w:vAlign w:val="center"/>
          </w:tcPr>
          <w:p w14:paraId="000000D2"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D3" w14:textId="185A41B8"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 xml:space="preserve">Energy efficiency savings target (ROE adder applied to </w:t>
            </w:r>
            <w:r w:rsidR="00660272">
              <w:rPr>
                <w:color w:val="000000"/>
                <w:sz w:val="18"/>
                <w:szCs w:val="18"/>
              </w:rPr>
              <w:t xml:space="preserve">DSM </w:t>
            </w:r>
            <w:r>
              <w:rPr>
                <w:color w:val="000000"/>
                <w:sz w:val="18"/>
                <w:szCs w:val="18"/>
              </w:rPr>
              <w:t>operating expenses)</w:t>
            </w:r>
          </w:p>
        </w:tc>
        <w:tc>
          <w:tcPr>
            <w:tcW w:w="1080" w:type="dxa"/>
            <w:gridSpan w:val="2"/>
          </w:tcPr>
          <w:p w14:paraId="000000D4" w14:textId="2A953201" w:rsidR="00535740" w:rsidRPr="00CC75D1" w:rsidRDefault="00CC75D1" w:rsidP="00CC75D1">
            <w:pPr>
              <w:keepLines/>
              <w:widowControl/>
              <w:pBdr>
                <w:top w:val="nil"/>
                <w:left w:val="nil"/>
                <w:bottom w:val="nil"/>
                <w:right w:val="nil"/>
                <w:between w:val="nil"/>
              </w:pBdr>
              <w:jc w:val="center"/>
              <w:rPr>
                <w:rFonts w:ascii="Times New Roman" w:eastAsia="Times New Roman" w:hAnsi="Times New Roman" w:cs="Times New Roman"/>
                <w:b/>
                <w:bCs/>
                <w:color w:val="000000"/>
              </w:rPr>
            </w:pPr>
            <w:r w:rsidRPr="00CC75D1">
              <w:rPr>
                <w:rFonts w:ascii="Times New Roman" w:eastAsia="Times New Roman" w:hAnsi="Times New Roman" w:cs="Times New Roman"/>
                <w:b/>
                <w:bCs/>
                <w:color w:val="000000"/>
              </w:rPr>
              <w:t>+</w:t>
            </w:r>
          </w:p>
        </w:tc>
        <w:tc>
          <w:tcPr>
            <w:tcW w:w="3840" w:type="dxa"/>
          </w:tcPr>
          <w:p w14:paraId="3CC28242" w14:textId="77777777" w:rsidR="00535740" w:rsidRDefault="00660272"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color w:val="000000"/>
                <w:sz w:val="18"/>
                <w:szCs w:val="18"/>
              </w:rPr>
              <w:t>Va. Code § 56-585.1 provides that a utility that meets its energy efficiency savings targets shall earn a return on the operating costs associated with the program. Further, if the utility exceeds its savings target, the utility can earn an additional 20 basis points for each additional 0.1% in annual savings beyond the target.</w:t>
            </w:r>
          </w:p>
          <w:p w14:paraId="1D1836A8" w14:textId="77777777" w:rsidR="00CC75D1" w:rsidRDefault="00CC75D1" w:rsidP="00A133CD">
            <w:pPr>
              <w:keepLines/>
              <w:widowControl/>
              <w:pBdr>
                <w:top w:val="nil"/>
                <w:left w:val="nil"/>
                <w:bottom w:val="nil"/>
                <w:right w:val="nil"/>
                <w:between w:val="nil"/>
              </w:pBdr>
              <w:spacing w:line="276" w:lineRule="auto"/>
              <w:rPr>
                <w:rFonts w:eastAsia="Times New Roman"/>
                <w:color w:val="000000"/>
                <w:sz w:val="18"/>
                <w:szCs w:val="18"/>
              </w:rPr>
            </w:pPr>
          </w:p>
          <w:p w14:paraId="000000D6" w14:textId="7EB15083" w:rsidR="00CC75D1" w:rsidRPr="00A133CD" w:rsidRDefault="00CC75D1" w:rsidP="00A133CD">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The ability for utilities to receive a financial benefit for the achievement of energy efficiency savings creates an incentive to the utility to pursue these savings.</w:t>
            </w:r>
          </w:p>
        </w:tc>
        <w:tc>
          <w:tcPr>
            <w:tcW w:w="4710" w:type="dxa"/>
          </w:tcPr>
          <w:p w14:paraId="20CA7CBA" w14:textId="517C0F26" w:rsidR="000D492E" w:rsidRPr="00A133CD" w:rsidRDefault="000D492E"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color w:val="000000"/>
                <w:sz w:val="18"/>
                <w:szCs w:val="18"/>
              </w:rPr>
              <w:lastRenderedPageBreak/>
              <w:t xml:space="preserve">The ability to earn a return on energy efficiency costs helps to offset the utility’s throughput incentive </w:t>
            </w:r>
            <w:r w:rsidR="00CC75D1">
              <w:rPr>
                <w:rFonts w:eastAsia="Times New Roman"/>
                <w:color w:val="000000"/>
                <w:sz w:val="18"/>
                <w:szCs w:val="18"/>
              </w:rPr>
              <w:t xml:space="preserve">(aka lost revenues) </w:t>
            </w:r>
            <w:r w:rsidRPr="00A133CD">
              <w:rPr>
                <w:rFonts w:eastAsia="Times New Roman"/>
                <w:color w:val="000000"/>
                <w:sz w:val="18"/>
                <w:szCs w:val="18"/>
              </w:rPr>
              <w:t>and capital bias.</w:t>
            </w:r>
          </w:p>
          <w:p w14:paraId="0E72A817" w14:textId="3AE10113" w:rsidR="000D492E" w:rsidRPr="00A133CD" w:rsidRDefault="000D492E" w:rsidP="00A133CD">
            <w:pPr>
              <w:keepLines/>
              <w:widowControl/>
              <w:pBdr>
                <w:top w:val="nil"/>
                <w:left w:val="nil"/>
                <w:bottom w:val="nil"/>
                <w:right w:val="nil"/>
                <w:between w:val="nil"/>
              </w:pBdr>
              <w:spacing w:line="276" w:lineRule="auto"/>
              <w:rPr>
                <w:rFonts w:eastAsia="Times New Roman"/>
                <w:color w:val="000000"/>
                <w:sz w:val="18"/>
                <w:szCs w:val="18"/>
              </w:rPr>
            </w:pPr>
          </w:p>
          <w:p w14:paraId="16839DC2" w14:textId="29EFD00D" w:rsidR="00535740" w:rsidRDefault="000D492E"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color w:val="000000"/>
                <w:sz w:val="18"/>
                <w:szCs w:val="18"/>
              </w:rPr>
              <w:lastRenderedPageBreak/>
              <w:t xml:space="preserve">However, </w:t>
            </w:r>
            <w:r w:rsidR="00CC75D1">
              <w:rPr>
                <w:rFonts w:eastAsia="Times New Roman"/>
                <w:color w:val="000000"/>
                <w:sz w:val="18"/>
                <w:szCs w:val="18"/>
              </w:rPr>
              <w:t xml:space="preserve">the design of the incentive mechanism could be improved to support meeting savings targets more cost-efficiently. Due to the fact </w:t>
            </w:r>
            <w:r w:rsidR="00660272" w:rsidRPr="00A133CD">
              <w:rPr>
                <w:rFonts w:eastAsia="Times New Roman"/>
                <w:color w:val="000000"/>
                <w:sz w:val="18"/>
                <w:szCs w:val="18"/>
              </w:rPr>
              <w:t>the financial reward is calculated based on the</w:t>
            </w:r>
            <w:r w:rsidRPr="00A133CD">
              <w:rPr>
                <w:rFonts w:eastAsia="Times New Roman"/>
                <w:color w:val="000000"/>
                <w:sz w:val="18"/>
                <w:szCs w:val="18"/>
              </w:rPr>
              <w:t xml:space="preserve"> utility’s energy efficiency program costs (</w:t>
            </w:r>
            <w:r w:rsidR="00660272" w:rsidRPr="00A133CD">
              <w:rPr>
                <w:rFonts w:eastAsia="Times New Roman"/>
                <w:color w:val="000000"/>
                <w:sz w:val="18"/>
                <w:szCs w:val="18"/>
              </w:rPr>
              <w:t>operating expenses</w:t>
            </w:r>
            <w:r w:rsidRPr="00A133CD">
              <w:rPr>
                <w:rFonts w:eastAsia="Times New Roman"/>
                <w:color w:val="000000"/>
                <w:sz w:val="18"/>
                <w:szCs w:val="18"/>
              </w:rPr>
              <w:t>)</w:t>
            </w:r>
            <w:r w:rsidR="00660272" w:rsidRPr="00A133CD">
              <w:rPr>
                <w:rFonts w:eastAsia="Times New Roman"/>
                <w:color w:val="000000"/>
                <w:sz w:val="18"/>
                <w:szCs w:val="18"/>
              </w:rPr>
              <w:t>, this framework</w:t>
            </w:r>
            <w:r w:rsidR="00E76652">
              <w:rPr>
                <w:rFonts w:eastAsia="Times New Roman"/>
                <w:color w:val="000000"/>
                <w:sz w:val="18"/>
                <w:szCs w:val="18"/>
              </w:rPr>
              <w:t xml:space="preserve"> </w:t>
            </w:r>
            <w:proofErr w:type="gramStart"/>
            <w:r w:rsidR="00E76652">
              <w:rPr>
                <w:rFonts w:eastAsia="Times New Roman"/>
                <w:color w:val="000000"/>
                <w:sz w:val="18"/>
                <w:szCs w:val="18"/>
              </w:rPr>
              <w:t xml:space="preserve">might </w:t>
            </w:r>
            <w:r w:rsidR="00660272" w:rsidRPr="00A133CD">
              <w:rPr>
                <w:rFonts w:eastAsia="Times New Roman"/>
                <w:color w:val="000000"/>
                <w:sz w:val="18"/>
                <w:szCs w:val="18"/>
              </w:rPr>
              <w:t xml:space="preserve"> </w:t>
            </w:r>
            <w:r w:rsidRPr="00A133CD">
              <w:rPr>
                <w:rFonts w:eastAsia="Times New Roman"/>
                <w:color w:val="000000"/>
                <w:sz w:val="18"/>
                <w:szCs w:val="18"/>
              </w:rPr>
              <w:t>reward</w:t>
            </w:r>
            <w:proofErr w:type="gramEnd"/>
            <w:r w:rsidRPr="00A133CD">
              <w:rPr>
                <w:rFonts w:eastAsia="Times New Roman"/>
                <w:color w:val="000000"/>
                <w:sz w:val="18"/>
                <w:szCs w:val="18"/>
              </w:rPr>
              <w:t xml:space="preserve"> greater program</w:t>
            </w:r>
            <w:r w:rsidR="00660272" w:rsidRPr="00A133CD">
              <w:rPr>
                <w:rFonts w:eastAsia="Times New Roman"/>
                <w:color w:val="000000"/>
                <w:sz w:val="18"/>
                <w:szCs w:val="18"/>
              </w:rPr>
              <w:t xml:space="preserve"> spending, rather than rewarding the utility for implementing the most cost-effective energy efficiency measures.</w:t>
            </w:r>
            <w:r w:rsidRPr="00A133CD">
              <w:rPr>
                <w:rFonts w:eastAsia="Times New Roman"/>
                <w:color w:val="000000"/>
                <w:sz w:val="18"/>
                <w:szCs w:val="18"/>
              </w:rPr>
              <w:t xml:space="preserve"> </w:t>
            </w:r>
          </w:p>
          <w:p w14:paraId="2B565039" w14:textId="77777777" w:rsidR="001F7438" w:rsidRDefault="001F7438" w:rsidP="00A133CD">
            <w:pPr>
              <w:keepLines/>
              <w:widowControl/>
              <w:pBdr>
                <w:top w:val="nil"/>
                <w:left w:val="nil"/>
                <w:bottom w:val="nil"/>
                <w:right w:val="nil"/>
                <w:between w:val="nil"/>
              </w:pBdr>
              <w:spacing w:line="276" w:lineRule="auto"/>
              <w:rPr>
                <w:rFonts w:eastAsia="Times New Roman"/>
                <w:color w:val="000000"/>
                <w:sz w:val="18"/>
                <w:szCs w:val="18"/>
              </w:rPr>
            </w:pPr>
          </w:p>
          <w:p w14:paraId="0CC8053A" w14:textId="77777777" w:rsidR="001F7438" w:rsidRDefault="001F7438" w:rsidP="00A133CD">
            <w:pPr>
              <w:keepLines/>
              <w:widowControl/>
              <w:pBdr>
                <w:top w:val="nil"/>
                <w:left w:val="nil"/>
                <w:bottom w:val="nil"/>
                <w:right w:val="nil"/>
                <w:between w:val="nil"/>
              </w:pBdr>
              <w:spacing w:line="276" w:lineRule="auto"/>
              <w:rPr>
                <w:rFonts w:eastAsia="Times New Roman"/>
                <w:color w:val="000000"/>
                <w:sz w:val="18"/>
                <w:szCs w:val="18"/>
              </w:rPr>
            </w:pPr>
          </w:p>
          <w:p w14:paraId="0F7EC1E5" w14:textId="77777777" w:rsidR="001F7438" w:rsidRDefault="001F7438" w:rsidP="00A133CD">
            <w:pPr>
              <w:keepLines/>
              <w:widowControl/>
              <w:pBdr>
                <w:top w:val="nil"/>
                <w:left w:val="nil"/>
                <w:bottom w:val="nil"/>
                <w:right w:val="nil"/>
                <w:between w:val="nil"/>
              </w:pBdr>
              <w:spacing w:line="276" w:lineRule="auto"/>
              <w:rPr>
                <w:rFonts w:eastAsia="Times New Roman"/>
                <w:color w:val="000000"/>
                <w:sz w:val="18"/>
                <w:szCs w:val="18"/>
              </w:rPr>
            </w:pPr>
          </w:p>
          <w:p w14:paraId="000000D7" w14:textId="3849118B" w:rsidR="001F7438" w:rsidRPr="00A133CD" w:rsidRDefault="001F7438" w:rsidP="00A133CD">
            <w:pPr>
              <w:keepLines/>
              <w:widowControl/>
              <w:pBdr>
                <w:top w:val="nil"/>
                <w:left w:val="nil"/>
                <w:bottom w:val="nil"/>
                <w:right w:val="nil"/>
                <w:between w:val="nil"/>
              </w:pBdr>
              <w:spacing w:line="276" w:lineRule="auto"/>
              <w:rPr>
                <w:rFonts w:eastAsia="Times New Roman"/>
                <w:color w:val="000000"/>
                <w:sz w:val="18"/>
                <w:szCs w:val="18"/>
              </w:rPr>
            </w:pPr>
          </w:p>
        </w:tc>
      </w:tr>
      <w:tr w:rsidR="00535740" w14:paraId="021D9F07" w14:textId="77777777" w:rsidTr="00BB2736">
        <w:tc>
          <w:tcPr>
            <w:tcW w:w="1950" w:type="dxa"/>
            <w:vMerge/>
            <w:vAlign w:val="center"/>
          </w:tcPr>
          <w:p w14:paraId="000000D8" w14:textId="77777777" w:rsidR="00535740" w:rsidRDefault="0053574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D9" w14:textId="77777777" w:rsidR="00535740" w:rsidRDefault="00000000">
            <w:pPr>
              <w:keepLines/>
              <w:widowControl/>
              <w:pBdr>
                <w:top w:val="nil"/>
                <w:left w:val="nil"/>
                <w:bottom w:val="nil"/>
                <w:right w:val="nil"/>
                <w:between w:val="nil"/>
              </w:pBdr>
              <w:spacing w:line="207" w:lineRule="auto"/>
              <w:ind w:left="104"/>
              <w:rPr>
                <w:color w:val="000000"/>
                <w:sz w:val="18"/>
                <w:szCs w:val="18"/>
              </w:rPr>
            </w:pPr>
            <w:r>
              <w:rPr>
                <w:color w:val="000000"/>
                <w:sz w:val="18"/>
                <w:szCs w:val="18"/>
              </w:rPr>
              <w:t>Performance mechanisms (e.g., metrics, scorecards, PIMS), including Case No. PUR-2023-00210 (Separate SCC PBR Case)</w:t>
            </w:r>
          </w:p>
        </w:tc>
        <w:tc>
          <w:tcPr>
            <w:tcW w:w="1080" w:type="dxa"/>
            <w:gridSpan w:val="2"/>
          </w:tcPr>
          <w:p w14:paraId="000000DA" w14:textId="12A49D44" w:rsidR="00535740" w:rsidRDefault="00CC75D1" w:rsidP="00CC75D1">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sidRPr="00CC75D1">
              <w:rPr>
                <w:rFonts w:ascii="Times New Roman" w:eastAsia="Times New Roman" w:hAnsi="Times New Roman" w:cs="Times New Roman"/>
                <w:b/>
                <w:bCs/>
                <w:color w:val="000000"/>
              </w:rPr>
              <w:t>+</w:t>
            </w:r>
          </w:p>
        </w:tc>
        <w:tc>
          <w:tcPr>
            <w:tcW w:w="3840" w:type="dxa"/>
          </w:tcPr>
          <w:p w14:paraId="035725F3" w14:textId="77777777" w:rsidR="00CC75D1" w:rsidRDefault="00FD314F"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color w:val="000000"/>
                <w:sz w:val="18"/>
                <w:szCs w:val="18"/>
              </w:rPr>
              <w:t xml:space="preserve">PIMs can help to align a utility’s financial incentives with </w:t>
            </w:r>
            <w:r w:rsidR="00CC75D1">
              <w:rPr>
                <w:rFonts w:eastAsia="Times New Roman"/>
                <w:color w:val="000000"/>
                <w:sz w:val="18"/>
                <w:szCs w:val="18"/>
              </w:rPr>
              <w:t xml:space="preserve">the achievement of peak demand reductions and energy efficiency savings. </w:t>
            </w:r>
          </w:p>
          <w:p w14:paraId="000000DC" w14:textId="5C0E9877" w:rsidR="00535740" w:rsidRPr="00A133CD" w:rsidRDefault="00535740" w:rsidP="00A133CD">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79DC43B3" w14:textId="483CCCA5" w:rsidR="00535740" w:rsidRDefault="00FD314F" w:rsidP="00A133CD">
            <w:pPr>
              <w:keepLines/>
              <w:widowControl/>
              <w:pBdr>
                <w:top w:val="nil"/>
                <w:left w:val="nil"/>
                <w:bottom w:val="nil"/>
                <w:right w:val="nil"/>
                <w:between w:val="nil"/>
              </w:pBdr>
              <w:spacing w:line="276" w:lineRule="auto"/>
              <w:rPr>
                <w:rFonts w:eastAsia="Times New Roman"/>
                <w:color w:val="000000"/>
                <w:sz w:val="18"/>
                <w:szCs w:val="18"/>
              </w:rPr>
            </w:pPr>
            <w:r w:rsidRPr="00A133CD">
              <w:rPr>
                <w:rFonts w:eastAsia="Times New Roman"/>
                <w:color w:val="000000"/>
                <w:sz w:val="18"/>
                <w:szCs w:val="18"/>
              </w:rPr>
              <w:t>PIMs should be implemented in Virginia alongside incentives to control the costs associated with meeting the PIM targets. In addition, the total value of potential PIM rewards plus the utility’s base ROE should not be excessive, or the utility will have a stronger incentive to expand its rate base.</w:t>
            </w:r>
            <w:r w:rsidR="00E76652">
              <w:rPr>
                <w:rFonts w:eastAsia="Times New Roman"/>
                <w:color w:val="000000"/>
                <w:sz w:val="18"/>
                <w:szCs w:val="18"/>
              </w:rPr>
              <w:t xml:space="preserve"> </w:t>
            </w:r>
          </w:p>
          <w:p w14:paraId="000000DD" w14:textId="3AC225CD" w:rsidR="00CC75D1" w:rsidRPr="00A133CD" w:rsidRDefault="00CC75D1" w:rsidP="00A133CD">
            <w:pPr>
              <w:keepLines/>
              <w:widowControl/>
              <w:pBdr>
                <w:top w:val="nil"/>
                <w:left w:val="nil"/>
                <w:bottom w:val="nil"/>
                <w:right w:val="nil"/>
                <w:between w:val="nil"/>
              </w:pBdr>
              <w:spacing w:line="276" w:lineRule="auto"/>
              <w:rPr>
                <w:rFonts w:eastAsia="Times New Roman"/>
                <w:color w:val="000000"/>
                <w:sz w:val="18"/>
                <w:szCs w:val="18"/>
              </w:rPr>
            </w:pPr>
          </w:p>
        </w:tc>
      </w:tr>
      <w:tr w:rsidR="0096392F" w14:paraId="456A832B" w14:textId="77777777" w:rsidTr="00BB2736">
        <w:trPr>
          <w:cantSplit/>
        </w:trPr>
        <w:tc>
          <w:tcPr>
            <w:tcW w:w="1950" w:type="dxa"/>
            <w:vMerge w:val="restart"/>
            <w:vAlign w:val="center"/>
          </w:tcPr>
          <w:p w14:paraId="000000DE" w14:textId="77777777" w:rsidR="0096392F" w:rsidRDefault="0096392F" w:rsidP="0096392F">
            <w:pPr>
              <w:keepLines/>
              <w:widowControl/>
              <w:pBdr>
                <w:top w:val="nil"/>
                <w:left w:val="nil"/>
                <w:bottom w:val="nil"/>
                <w:right w:val="nil"/>
                <w:between w:val="nil"/>
              </w:pBdr>
              <w:spacing w:line="268" w:lineRule="auto"/>
              <w:ind w:left="60"/>
              <w:rPr>
                <w:b/>
                <w:color w:val="000000"/>
                <w:sz w:val="18"/>
                <w:szCs w:val="18"/>
              </w:rPr>
            </w:pPr>
            <w:r>
              <w:rPr>
                <w:b/>
                <w:color w:val="000000"/>
                <w:sz w:val="18"/>
                <w:szCs w:val="18"/>
              </w:rPr>
              <w:t>Other ratemaking and regulatory features</w:t>
            </w:r>
          </w:p>
        </w:tc>
        <w:tc>
          <w:tcPr>
            <w:tcW w:w="1695" w:type="dxa"/>
          </w:tcPr>
          <w:p w14:paraId="000000DF" w14:textId="77777777" w:rsidR="0096392F" w:rsidRDefault="0096392F" w:rsidP="0096392F">
            <w:pPr>
              <w:keepLines/>
              <w:widowControl/>
              <w:pBdr>
                <w:top w:val="nil"/>
                <w:left w:val="nil"/>
                <w:bottom w:val="nil"/>
                <w:right w:val="nil"/>
                <w:between w:val="nil"/>
              </w:pBdr>
              <w:spacing w:line="207" w:lineRule="auto"/>
              <w:ind w:left="104"/>
              <w:rPr>
                <w:color w:val="000000"/>
                <w:sz w:val="18"/>
                <w:szCs w:val="18"/>
              </w:rPr>
            </w:pPr>
            <w:r>
              <w:rPr>
                <w:color w:val="000000"/>
                <w:sz w:val="18"/>
                <w:szCs w:val="18"/>
              </w:rPr>
              <w:t>IRPs</w:t>
            </w:r>
          </w:p>
        </w:tc>
        <w:tc>
          <w:tcPr>
            <w:tcW w:w="1080" w:type="dxa"/>
            <w:gridSpan w:val="2"/>
          </w:tcPr>
          <w:p w14:paraId="000000E0" w14:textId="487FF632" w:rsidR="0096392F" w:rsidRDefault="00E76652" w:rsidP="0096392F">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rPr>
              <w:t>-</w:t>
            </w:r>
          </w:p>
        </w:tc>
        <w:tc>
          <w:tcPr>
            <w:tcW w:w="3840" w:type="dxa"/>
          </w:tcPr>
          <w:p w14:paraId="000000E2" w14:textId="7A1DF1CE" w:rsidR="0096392F" w:rsidRPr="00A133CD" w:rsidRDefault="00E76652" w:rsidP="0096392F">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 xml:space="preserve">IRPs that include </w:t>
            </w:r>
            <w:proofErr w:type="gramStart"/>
            <w:r>
              <w:rPr>
                <w:rFonts w:eastAsia="Times New Roman"/>
                <w:color w:val="000000"/>
                <w:sz w:val="18"/>
                <w:szCs w:val="18"/>
              </w:rPr>
              <w:t>reasonable  and</w:t>
            </w:r>
            <w:proofErr w:type="gramEnd"/>
            <w:r>
              <w:rPr>
                <w:rFonts w:eastAsia="Times New Roman"/>
                <w:color w:val="000000"/>
                <w:sz w:val="18"/>
                <w:szCs w:val="18"/>
              </w:rPr>
              <w:t xml:space="preserve"> ambitious assumptions for energy efficiency facilitate adoption and encourage deployment. It also allows stakeholders to weigh low-cost energy efficiency programs with other alternatives. </w:t>
            </w:r>
          </w:p>
        </w:tc>
        <w:tc>
          <w:tcPr>
            <w:tcW w:w="4710" w:type="dxa"/>
          </w:tcPr>
          <w:p w14:paraId="000000E3" w14:textId="7D6BD361" w:rsidR="0096392F" w:rsidRPr="00A133CD" w:rsidRDefault="00E76652" w:rsidP="0096392F">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 xml:space="preserve">In the most recent planning documents, utilities have modeled energy efficiency programs at the bare minimum. This hinders the ability to understand the full potential of this resource. </w:t>
            </w:r>
          </w:p>
        </w:tc>
      </w:tr>
      <w:tr w:rsidR="0096392F" w14:paraId="2236E83C" w14:textId="77777777" w:rsidTr="00BB2736">
        <w:trPr>
          <w:cantSplit/>
        </w:trPr>
        <w:tc>
          <w:tcPr>
            <w:tcW w:w="1950" w:type="dxa"/>
            <w:vMerge/>
            <w:vAlign w:val="center"/>
          </w:tcPr>
          <w:p w14:paraId="000000E4" w14:textId="77777777" w:rsidR="0096392F" w:rsidRDefault="0096392F" w:rsidP="0096392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E5" w14:textId="77777777" w:rsidR="0096392F" w:rsidRDefault="0096392F" w:rsidP="0096392F">
            <w:pPr>
              <w:keepLines/>
              <w:widowControl/>
              <w:pBdr>
                <w:top w:val="nil"/>
                <w:left w:val="nil"/>
                <w:bottom w:val="nil"/>
                <w:right w:val="nil"/>
                <w:between w:val="nil"/>
              </w:pBdr>
              <w:spacing w:line="207" w:lineRule="auto"/>
              <w:ind w:left="104"/>
              <w:rPr>
                <w:color w:val="000000"/>
                <w:sz w:val="18"/>
                <w:szCs w:val="18"/>
              </w:rPr>
            </w:pPr>
            <w:r>
              <w:rPr>
                <w:color w:val="000000"/>
                <w:sz w:val="18"/>
                <w:szCs w:val="18"/>
              </w:rPr>
              <w:t>Certificates of Public Need and Necessity (CPCN)</w:t>
            </w:r>
          </w:p>
        </w:tc>
        <w:tc>
          <w:tcPr>
            <w:tcW w:w="1080" w:type="dxa"/>
            <w:gridSpan w:val="2"/>
          </w:tcPr>
          <w:p w14:paraId="000000E6" w14:textId="0243EA75" w:rsidR="0096392F" w:rsidRDefault="0096392F" w:rsidP="0096392F">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sidRPr="004C17B8">
              <w:rPr>
                <w:rFonts w:ascii="Times New Roman" w:eastAsia="Times New Roman" w:hAnsi="Times New Roman" w:cs="Times New Roman"/>
                <w:b/>
                <w:bCs/>
              </w:rPr>
              <w:t>0</w:t>
            </w:r>
          </w:p>
        </w:tc>
        <w:tc>
          <w:tcPr>
            <w:tcW w:w="3840" w:type="dxa"/>
          </w:tcPr>
          <w:p w14:paraId="000000E8" w14:textId="75F60864"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CPCN do not have a direct impact on this outcome.</w:t>
            </w:r>
          </w:p>
        </w:tc>
        <w:tc>
          <w:tcPr>
            <w:tcW w:w="4710" w:type="dxa"/>
          </w:tcPr>
          <w:p w14:paraId="000000E9" w14:textId="77777777"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p>
        </w:tc>
      </w:tr>
      <w:tr w:rsidR="0096392F" w14:paraId="2F780796" w14:textId="77777777" w:rsidTr="00BB2736">
        <w:trPr>
          <w:cantSplit/>
          <w:trHeight w:val="491"/>
        </w:trPr>
        <w:tc>
          <w:tcPr>
            <w:tcW w:w="1950" w:type="dxa"/>
            <w:vMerge/>
            <w:vAlign w:val="center"/>
          </w:tcPr>
          <w:p w14:paraId="000000EA" w14:textId="77777777" w:rsidR="0096392F" w:rsidRDefault="0096392F" w:rsidP="0096392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EB" w14:textId="77777777" w:rsidR="0096392F" w:rsidRDefault="0096392F" w:rsidP="0096392F">
            <w:pPr>
              <w:keepLines/>
              <w:widowControl/>
              <w:pBdr>
                <w:top w:val="nil"/>
                <w:left w:val="nil"/>
                <w:bottom w:val="nil"/>
                <w:right w:val="nil"/>
                <w:between w:val="nil"/>
              </w:pBdr>
              <w:spacing w:line="207" w:lineRule="auto"/>
              <w:ind w:left="104"/>
              <w:rPr>
                <w:color w:val="000000"/>
                <w:sz w:val="18"/>
                <w:szCs w:val="18"/>
              </w:rPr>
            </w:pPr>
            <w:r>
              <w:rPr>
                <w:color w:val="000000"/>
                <w:sz w:val="18"/>
                <w:szCs w:val="18"/>
              </w:rPr>
              <w:t>Rate design (including universal service fee)</w:t>
            </w:r>
          </w:p>
        </w:tc>
        <w:tc>
          <w:tcPr>
            <w:tcW w:w="1080" w:type="dxa"/>
            <w:gridSpan w:val="2"/>
          </w:tcPr>
          <w:p w14:paraId="000000EC" w14:textId="2D2583FB" w:rsidR="0096392F" w:rsidRDefault="0096392F" w:rsidP="0096392F">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sidRPr="004C17B8">
              <w:rPr>
                <w:rFonts w:ascii="Times New Roman" w:eastAsia="Times New Roman" w:hAnsi="Times New Roman" w:cs="Times New Roman"/>
                <w:b/>
                <w:bCs/>
              </w:rPr>
              <w:t>0</w:t>
            </w:r>
          </w:p>
        </w:tc>
        <w:tc>
          <w:tcPr>
            <w:tcW w:w="3840" w:type="dxa"/>
          </w:tcPr>
          <w:p w14:paraId="000000EE" w14:textId="46CF3EC8"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Rate design does not have a direct impact on this outcome.</w:t>
            </w:r>
          </w:p>
        </w:tc>
        <w:tc>
          <w:tcPr>
            <w:tcW w:w="4710" w:type="dxa"/>
          </w:tcPr>
          <w:p w14:paraId="000000EF" w14:textId="77777777"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p>
        </w:tc>
      </w:tr>
      <w:tr w:rsidR="0096392F" w14:paraId="2AC7CB67" w14:textId="77777777" w:rsidTr="00BB2736">
        <w:trPr>
          <w:cantSplit/>
        </w:trPr>
        <w:tc>
          <w:tcPr>
            <w:tcW w:w="1950" w:type="dxa"/>
            <w:vMerge/>
            <w:vAlign w:val="center"/>
          </w:tcPr>
          <w:p w14:paraId="000000F0" w14:textId="77777777" w:rsidR="0096392F" w:rsidRDefault="0096392F" w:rsidP="0096392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F1" w14:textId="77777777" w:rsidR="0096392F" w:rsidRDefault="0096392F" w:rsidP="0096392F">
            <w:pPr>
              <w:keepLines/>
              <w:widowControl/>
              <w:pBdr>
                <w:top w:val="nil"/>
                <w:left w:val="nil"/>
                <w:bottom w:val="nil"/>
                <w:right w:val="nil"/>
                <w:between w:val="nil"/>
              </w:pBdr>
              <w:spacing w:line="207" w:lineRule="auto"/>
              <w:ind w:left="104"/>
              <w:rPr>
                <w:color w:val="000000"/>
                <w:sz w:val="18"/>
                <w:szCs w:val="18"/>
              </w:rPr>
            </w:pPr>
            <w:r>
              <w:rPr>
                <w:color w:val="000000"/>
                <w:sz w:val="18"/>
                <w:szCs w:val="18"/>
              </w:rPr>
              <w:t>Pilot programs</w:t>
            </w:r>
          </w:p>
        </w:tc>
        <w:tc>
          <w:tcPr>
            <w:tcW w:w="1080" w:type="dxa"/>
            <w:gridSpan w:val="2"/>
          </w:tcPr>
          <w:p w14:paraId="000000F2" w14:textId="77777777" w:rsidR="0096392F" w:rsidRDefault="0096392F" w:rsidP="0096392F">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3840" w:type="dxa"/>
          </w:tcPr>
          <w:p w14:paraId="000000F4" w14:textId="77777777"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p>
        </w:tc>
        <w:tc>
          <w:tcPr>
            <w:tcW w:w="4710" w:type="dxa"/>
          </w:tcPr>
          <w:p w14:paraId="000000F5" w14:textId="77777777"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p>
        </w:tc>
      </w:tr>
      <w:tr w:rsidR="0096392F" w14:paraId="4DD2F3F3" w14:textId="77777777" w:rsidTr="00BB2736">
        <w:trPr>
          <w:cantSplit/>
        </w:trPr>
        <w:tc>
          <w:tcPr>
            <w:tcW w:w="1950" w:type="dxa"/>
            <w:vAlign w:val="center"/>
          </w:tcPr>
          <w:p w14:paraId="000000F6" w14:textId="77777777" w:rsidR="0096392F" w:rsidRDefault="0096392F" w:rsidP="0096392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0000F7" w14:textId="77777777" w:rsidR="0096392F" w:rsidRDefault="0096392F" w:rsidP="0096392F">
            <w:pPr>
              <w:keepLines/>
              <w:widowControl/>
              <w:pBdr>
                <w:top w:val="nil"/>
                <w:left w:val="nil"/>
                <w:bottom w:val="nil"/>
                <w:right w:val="nil"/>
                <w:between w:val="nil"/>
              </w:pBdr>
              <w:spacing w:line="207" w:lineRule="auto"/>
              <w:ind w:left="104"/>
              <w:rPr>
                <w:color w:val="000000"/>
                <w:sz w:val="18"/>
                <w:szCs w:val="18"/>
              </w:rPr>
            </w:pPr>
            <w:r>
              <w:rPr>
                <w:sz w:val="18"/>
                <w:szCs w:val="18"/>
              </w:rPr>
              <w:t>Limits to third party-owned generation</w:t>
            </w:r>
          </w:p>
        </w:tc>
        <w:tc>
          <w:tcPr>
            <w:tcW w:w="1080" w:type="dxa"/>
            <w:gridSpan w:val="2"/>
          </w:tcPr>
          <w:p w14:paraId="000000F8" w14:textId="4C78E619" w:rsidR="0096392F" w:rsidRDefault="0096392F" w:rsidP="0096392F">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sidRPr="004C17B8">
              <w:rPr>
                <w:rFonts w:ascii="Times New Roman" w:eastAsia="Times New Roman" w:hAnsi="Times New Roman" w:cs="Times New Roman"/>
                <w:b/>
                <w:bCs/>
              </w:rPr>
              <w:t>0</w:t>
            </w:r>
          </w:p>
        </w:tc>
        <w:tc>
          <w:tcPr>
            <w:tcW w:w="3840" w:type="dxa"/>
          </w:tcPr>
          <w:p w14:paraId="000000FA" w14:textId="526CD482"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r>
              <w:rPr>
                <w:rFonts w:eastAsia="Times New Roman"/>
                <w:color w:val="000000"/>
                <w:sz w:val="18"/>
                <w:szCs w:val="18"/>
              </w:rPr>
              <w:t>Third party generation does not have a direct impact on this outcome.</w:t>
            </w:r>
          </w:p>
        </w:tc>
        <w:tc>
          <w:tcPr>
            <w:tcW w:w="4710" w:type="dxa"/>
          </w:tcPr>
          <w:p w14:paraId="000000FB" w14:textId="77777777" w:rsidR="0096392F" w:rsidRPr="00A133CD" w:rsidRDefault="0096392F" w:rsidP="0096392F">
            <w:pPr>
              <w:keepLines/>
              <w:widowControl/>
              <w:pBdr>
                <w:top w:val="nil"/>
                <w:left w:val="nil"/>
                <w:bottom w:val="nil"/>
                <w:right w:val="nil"/>
                <w:between w:val="nil"/>
              </w:pBdr>
              <w:spacing w:line="276" w:lineRule="auto"/>
              <w:rPr>
                <w:rFonts w:eastAsia="Times New Roman"/>
                <w:color w:val="000000"/>
                <w:sz w:val="18"/>
                <w:szCs w:val="18"/>
              </w:rPr>
            </w:pPr>
          </w:p>
        </w:tc>
      </w:tr>
    </w:tbl>
    <w:p w14:paraId="000000FC" w14:textId="77777777" w:rsidR="00535740" w:rsidRDefault="00535740">
      <w:pPr>
        <w:pBdr>
          <w:top w:val="nil"/>
          <w:left w:val="nil"/>
          <w:bottom w:val="nil"/>
          <w:right w:val="nil"/>
          <w:between w:val="nil"/>
        </w:pBdr>
        <w:rPr>
          <w:color w:val="000000"/>
          <w:sz w:val="20"/>
          <w:szCs w:val="20"/>
        </w:rPr>
      </w:pPr>
    </w:p>
    <w:p w14:paraId="000000FD" w14:textId="77777777" w:rsidR="00535740" w:rsidRDefault="00000000">
      <w:pPr>
        <w:pBdr>
          <w:top w:val="nil"/>
          <w:left w:val="nil"/>
          <w:bottom w:val="nil"/>
          <w:right w:val="nil"/>
          <w:between w:val="nil"/>
        </w:pBdr>
        <w:rPr>
          <w:color w:val="000000"/>
          <w:sz w:val="28"/>
          <w:szCs w:val="28"/>
        </w:rPr>
      </w:pPr>
      <w:r>
        <w:rPr>
          <w:color w:val="000000"/>
          <w:sz w:val="28"/>
          <w:szCs w:val="28"/>
        </w:rPr>
        <w:t>Overall Assessment</w:t>
      </w:r>
    </w:p>
    <w:p w14:paraId="000000FE" w14:textId="77777777" w:rsidR="00535740" w:rsidRDefault="00535740">
      <w:pPr>
        <w:pBdr>
          <w:top w:val="nil"/>
          <w:left w:val="nil"/>
          <w:bottom w:val="nil"/>
          <w:right w:val="nil"/>
          <w:between w:val="nil"/>
        </w:pBdr>
        <w:rPr>
          <w:color w:val="000000"/>
          <w:sz w:val="20"/>
          <w:szCs w:val="20"/>
        </w:rPr>
      </w:pPr>
    </w:p>
    <w:tbl>
      <w:tblPr>
        <w:tblStyle w:val="a1"/>
        <w:tblW w:w="1290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6"/>
        <w:gridCol w:w="1522"/>
        <w:gridCol w:w="7433"/>
      </w:tblGrid>
      <w:tr w:rsidR="00535740" w14:paraId="30E5A0B2" w14:textId="77777777">
        <w:tc>
          <w:tcPr>
            <w:tcW w:w="5468" w:type="dxa"/>
            <w:gridSpan w:val="2"/>
            <w:shd w:val="clear" w:color="auto" w:fill="3B7E32"/>
          </w:tcPr>
          <w:p w14:paraId="000000FF" w14:textId="77777777" w:rsidR="00535740" w:rsidRDefault="00000000">
            <w:pPr>
              <w:pBdr>
                <w:top w:val="nil"/>
                <w:left w:val="nil"/>
                <w:bottom w:val="nil"/>
                <w:right w:val="nil"/>
                <w:between w:val="nil"/>
              </w:pBdr>
              <w:spacing w:before="63"/>
              <w:rPr>
                <w:color w:val="000000"/>
                <w:sz w:val="20"/>
                <w:szCs w:val="20"/>
              </w:rPr>
            </w:pPr>
            <w:r>
              <w:rPr>
                <w:b/>
                <w:color w:val="FFFFFF"/>
                <w:sz w:val="20"/>
                <w:szCs w:val="20"/>
              </w:rPr>
              <w:t>Overall, does the existing regulatory framework support achievement of the identified outcome?</w:t>
            </w:r>
          </w:p>
        </w:tc>
        <w:tc>
          <w:tcPr>
            <w:tcW w:w="7434" w:type="dxa"/>
            <w:shd w:val="clear" w:color="auto" w:fill="3B7E32"/>
          </w:tcPr>
          <w:p w14:paraId="00000101" w14:textId="77777777" w:rsidR="00535740" w:rsidRDefault="00000000">
            <w:pPr>
              <w:pBdr>
                <w:top w:val="nil"/>
                <w:left w:val="nil"/>
                <w:bottom w:val="nil"/>
                <w:right w:val="nil"/>
                <w:between w:val="nil"/>
              </w:pBdr>
              <w:spacing w:before="63"/>
              <w:rPr>
                <w:color w:val="000000"/>
                <w:sz w:val="20"/>
                <w:szCs w:val="20"/>
              </w:rPr>
            </w:pPr>
            <w:r>
              <w:rPr>
                <w:b/>
                <w:color w:val="FFFFFF"/>
                <w:sz w:val="20"/>
                <w:szCs w:val="20"/>
              </w:rPr>
              <w:t>Discussion</w:t>
            </w:r>
          </w:p>
        </w:tc>
      </w:tr>
      <w:tr w:rsidR="00535740" w14:paraId="7452AA52" w14:textId="77777777">
        <w:trPr>
          <w:trHeight w:val="905"/>
        </w:trPr>
        <w:tc>
          <w:tcPr>
            <w:tcW w:w="3946" w:type="dxa"/>
          </w:tcPr>
          <w:p w14:paraId="00000102" w14:textId="77777777" w:rsidR="00535740" w:rsidRDefault="00000000">
            <w:pPr>
              <w:pBdr>
                <w:top w:val="nil"/>
                <w:left w:val="nil"/>
                <w:bottom w:val="nil"/>
                <w:right w:val="nil"/>
                <w:between w:val="nil"/>
              </w:pBdr>
              <w:spacing w:before="63"/>
              <w:rPr>
                <w:color w:val="000000"/>
                <w:sz w:val="20"/>
                <w:szCs w:val="20"/>
              </w:rPr>
            </w:pPr>
            <w:r>
              <w:rPr>
                <w:b/>
                <w:color w:val="000000"/>
                <w:sz w:val="20"/>
                <w:szCs w:val="20"/>
              </w:rPr>
              <w:t xml:space="preserve">+ (YES) </w:t>
            </w:r>
            <w:r>
              <w:rPr>
                <w:color w:val="000000"/>
                <w:sz w:val="20"/>
                <w:szCs w:val="20"/>
              </w:rPr>
              <w:t>incents achievement</w:t>
            </w:r>
          </w:p>
        </w:tc>
        <w:tc>
          <w:tcPr>
            <w:tcW w:w="1522" w:type="dxa"/>
          </w:tcPr>
          <w:p w14:paraId="00000103" w14:textId="77777777" w:rsidR="00535740" w:rsidRDefault="00535740">
            <w:pPr>
              <w:pBdr>
                <w:top w:val="nil"/>
                <w:left w:val="nil"/>
                <w:bottom w:val="nil"/>
                <w:right w:val="nil"/>
                <w:between w:val="nil"/>
              </w:pBdr>
              <w:spacing w:before="63"/>
              <w:rPr>
                <w:color w:val="000000"/>
                <w:sz w:val="20"/>
                <w:szCs w:val="20"/>
              </w:rPr>
            </w:pPr>
          </w:p>
        </w:tc>
        <w:tc>
          <w:tcPr>
            <w:tcW w:w="7434" w:type="dxa"/>
          </w:tcPr>
          <w:p w14:paraId="00000104" w14:textId="77777777" w:rsidR="00535740" w:rsidRDefault="00535740">
            <w:pPr>
              <w:pBdr>
                <w:top w:val="nil"/>
                <w:left w:val="nil"/>
                <w:bottom w:val="nil"/>
                <w:right w:val="nil"/>
                <w:between w:val="nil"/>
              </w:pBdr>
              <w:spacing w:before="63"/>
              <w:rPr>
                <w:color w:val="000000"/>
                <w:sz w:val="20"/>
                <w:szCs w:val="20"/>
              </w:rPr>
            </w:pPr>
          </w:p>
        </w:tc>
      </w:tr>
      <w:tr w:rsidR="00535740" w14:paraId="225D0DF1" w14:textId="77777777">
        <w:trPr>
          <w:trHeight w:val="797"/>
        </w:trPr>
        <w:tc>
          <w:tcPr>
            <w:tcW w:w="3946" w:type="dxa"/>
          </w:tcPr>
          <w:p w14:paraId="00000105" w14:textId="77777777" w:rsidR="00535740" w:rsidRDefault="00000000">
            <w:pPr>
              <w:pBdr>
                <w:top w:val="nil"/>
                <w:left w:val="nil"/>
                <w:bottom w:val="nil"/>
                <w:right w:val="nil"/>
                <w:between w:val="nil"/>
              </w:pBdr>
              <w:spacing w:before="63"/>
              <w:rPr>
                <w:color w:val="000000"/>
                <w:sz w:val="20"/>
                <w:szCs w:val="20"/>
              </w:rPr>
            </w:pPr>
            <w:r>
              <w:rPr>
                <w:b/>
                <w:color w:val="000000"/>
                <w:sz w:val="20"/>
                <w:szCs w:val="20"/>
              </w:rPr>
              <w:lastRenderedPageBreak/>
              <w:t>0 (NO IMPACT)</w:t>
            </w:r>
          </w:p>
        </w:tc>
        <w:tc>
          <w:tcPr>
            <w:tcW w:w="1522" w:type="dxa"/>
          </w:tcPr>
          <w:p w14:paraId="00000106" w14:textId="77777777" w:rsidR="00535740" w:rsidRDefault="00535740">
            <w:pPr>
              <w:pBdr>
                <w:top w:val="nil"/>
                <w:left w:val="nil"/>
                <w:bottom w:val="nil"/>
                <w:right w:val="nil"/>
                <w:between w:val="nil"/>
              </w:pBdr>
              <w:spacing w:before="63"/>
              <w:rPr>
                <w:color w:val="000000"/>
                <w:sz w:val="20"/>
                <w:szCs w:val="20"/>
              </w:rPr>
            </w:pPr>
          </w:p>
        </w:tc>
        <w:tc>
          <w:tcPr>
            <w:tcW w:w="7434" w:type="dxa"/>
          </w:tcPr>
          <w:p w14:paraId="00000107" w14:textId="77777777" w:rsidR="00535740" w:rsidRDefault="00535740">
            <w:pPr>
              <w:pBdr>
                <w:top w:val="nil"/>
                <w:left w:val="nil"/>
                <w:bottom w:val="nil"/>
                <w:right w:val="nil"/>
                <w:between w:val="nil"/>
              </w:pBdr>
              <w:spacing w:before="63"/>
              <w:rPr>
                <w:color w:val="000000"/>
                <w:sz w:val="20"/>
                <w:szCs w:val="20"/>
              </w:rPr>
            </w:pPr>
          </w:p>
        </w:tc>
      </w:tr>
      <w:tr w:rsidR="00535740" w14:paraId="66EC9DA8" w14:textId="77777777">
        <w:trPr>
          <w:trHeight w:val="905"/>
        </w:trPr>
        <w:tc>
          <w:tcPr>
            <w:tcW w:w="3946" w:type="dxa"/>
          </w:tcPr>
          <w:p w14:paraId="00000108" w14:textId="77777777" w:rsidR="00535740" w:rsidRDefault="00000000">
            <w:pPr>
              <w:pBdr>
                <w:top w:val="nil"/>
                <w:left w:val="nil"/>
                <w:bottom w:val="nil"/>
                <w:right w:val="nil"/>
                <w:between w:val="nil"/>
              </w:pBdr>
              <w:spacing w:before="63"/>
              <w:rPr>
                <w:color w:val="000000"/>
                <w:sz w:val="20"/>
                <w:szCs w:val="20"/>
              </w:rPr>
            </w:pPr>
            <w:r>
              <w:rPr>
                <w:b/>
                <w:color w:val="000000"/>
                <w:sz w:val="20"/>
                <w:szCs w:val="20"/>
              </w:rPr>
              <w:t xml:space="preserve">- (NO) </w:t>
            </w:r>
            <w:r>
              <w:rPr>
                <w:color w:val="000000"/>
                <w:sz w:val="20"/>
                <w:szCs w:val="20"/>
              </w:rPr>
              <w:t>disincentivizes achievement</w:t>
            </w:r>
          </w:p>
        </w:tc>
        <w:tc>
          <w:tcPr>
            <w:tcW w:w="1522" w:type="dxa"/>
          </w:tcPr>
          <w:p w14:paraId="00000109" w14:textId="4CCB49E5" w:rsidR="00535740" w:rsidRPr="00CC75D1" w:rsidRDefault="00CC75D1" w:rsidP="00CC75D1">
            <w:pPr>
              <w:pBdr>
                <w:top w:val="nil"/>
                <w:left w:val="nil"/>
                <w:bottom w:val="nil"/>
                <w:right w:val="nil"/>
                <w:between w:val="nil"/>
              </w:pBdr>
              <w:spacing w:before="63"/>
              <w:jc w:val="center"/>
              <w:rPr>
                <w:b/>
                <w:bCs/>
                <w:color w:val="000000"/>
                <w:sz w:val="20"/>
                <w:szCs w:val="20"/>
              </w:rPr>
            </w:pPr>
            <w:r w:rsidRPr="00CC75D1">
              <w:rPr>
                <w:b/>
                <w:bCs/>
                <w:color w:val="000000"/>
                <w:sz w:val="20"/>
                <w:szCs w:val="20"/>
              </w:rPr>
              <w:t>-</w:t>
            </w:r>
          </w:p>
        </w:tc>
        <w:tc>
          <w:tcPr>
            <w:tcW w:w="7434" w:type="dxa"/>
          </w:tcPr>
          <w:p w14:paraId="3490ABC9" w14:textId="77777777" w:rsidR="0096392F" w:rsidRPr="0096392F" w:rsidRDefault="00CC75D1">
            <w:pPr>
              <w:pBdr>
                <w:top w:val="nil"/>
                <w:left w:val="nil"/>
                <w:bottom w:val="nil"/>
                <w:right w:val="nil"/>
                <w:between w:val="nil"/>
              </w:pBdr>
              <w:spacing w:before="63"/>
              <w:rPr>
                <w:color w:val="000000"/>
                <w:sz w:val="18"/>
                <w:szCs w:val="18"/>
              </w:rPr>
            </w:pPr>
            <w:proofErr w:type="gramStart"/>
            <w:r w:rsidRPr="0096392F">
              <w:rPr>
                <w:color w:val="000000"/>
                <w:sz w:val="18"/>
                <w:szCs w:val="18"/>
              </w:rPr>
              <w:t>Overall</w:t>
            </w:r>
            <w:proofErr w:type="gramEnd"/>
            <w:r w:rsidRPr="0096392F">
              <w:rPr>
                <w:color w:val="000000"/>
                <w:sz w:val="18"/>
                <w:szCs w:val="18"/>
              </w:rPr>
              <w:t xml:space="preserve"> the current regulatory framework creates a disincentive for utilities to invest in energy efficiency and achieve reductions in peak demand. </w:t>
            </w:r>
          </w:p>
          <w:p w14:paraId="0BA47E6B" w14:textId="0121D1F5" w:rsidR="00535740" w:rsidRPr="0096392F" w:rsidRDefault="00CC75D1">
            <w:pPr>
              <w:pBdr>
                <w:top w:val="nil"/>
                <w:left w:val="nil"/>
                <w:bottom w:val="nil"/>
                <w:right w:val="nil"/>
                <w:between w:val="nil"/>
              </w:pBdr>
              <w:spacing w:before="63"/>
              <w:rPr>
                <w:rFonts w:eastAsia="Times New Roman"/>
                <w:color w:val="000000"/>
                <w:sz w:val="18"/>
                <w:szCs w:val="18"/>
              </w:rPr>
            </w:pPr>
            <w:r w:rsidRPr="0096392F">
              <w:rPr>
                <w:color w:val="000000"/>
                <w:sz w:val="18"/>
                <w:szCs w:val="18"/>
              </w:rPr>
              <w:t xml:space="preserve">While </w:t>
            </w:r>
            <w:r w:rsidRPr="0096392F">
              <w:rPr>
                <w:rFonts w:eastAsia="Times New Roman"/>
                <w:color w:val="000000"/>
                <w:sz w:val="18"/>
                <w:szCs w:val="18"/>
              </w:rPr>
              <w:t xml:space="preserve">Va. Code § 56-585.1 provides an incentive for utilities that meet their energy efficiency savings targets, it is likely not sufficient to </w:t>
            </w:r>
            <w:r w:rsidR="0096392F" w:rsidRPr="0096392F">
              <w:rPr>
                <w:rFonts w:eastAsia="Times New Roman"/>
                <w:color w:val="000000"/>
                <w:sz w:val="18"/>
                <w:szCs w:val="18"/>
              </w:rPr>
              <w:t xml:space="preserve">outweigh the current </w:t>
            </w:r>
            <w:r w:rsidRPr="0096392F">
              <w:rPr>
                <w:rFonts w:eastAsia="Times New Roman"/>
                <w:color w:val="000000"/>
                <w:sz w:val="18"/>
                <w:szCs w:val="18"/>
              </w:rPr>
              <w:t>disincentives</w:t>
            </w:r>
            <w:r w:rsidR="0096392F" w:rsidRPr="0096392F">
              <w:rPr>
                <w:rFonts w:eastAsia="Times New Roman"/>
                <w:color w:val="000000"/>
                <w:sz w:val="18"/>
                <w:szCs w:val="18"/>
              </w:rPr>
              <w:t xml:space="preserve"> related to lost revenues and capital bias.</w:t>
            </w:r>
          </w:p>
          <w:p w14:paraId="6C700A3A" w14:textId="0A6FC880" w:rsidR="00CC75D1" w:rsidRPr="0096392F" w:rsidRDefault="00CC75D1">
            <w:pPr>
              <w:pBdr>
                <w:top w:val="nil"/>
                <w:left w:val="nil"/>
                <w:bottom w:val="nil"/>
                <w:right w:val="nil"/>
                <w:between w:val="nil"/>
              </w:pBdr>
              <w:spacing w:before="63"/>
              <w:rPr>
                <w:rFonts w:eastAsia="Times New Roman"/>
                <w:color w:val="000000"/>
                <w:sz w:val="18"/>
                <w:szCs w:val="18"/>
              </w:rPr>
            </w:pPr>
            <w:r w:rsidRPr="0096392F">
              <w:rPr>
                <w:rFonts w:eastAsia="Times New Roman"/>
                <w:color w:val="000000"/>
                <w:sz w:val="18"/>
                <w:szCs w:val="18"/>
              </w:rPr>
              <w:t>Without decoupling the utility has a</w:t>
            </w:r>
            <w:r w:rsidR="0096392F" w:rsidRPr="0096392F">
              <w:rPr>
                <w:rFonts w:eastAsia="Times New Roman"/>
                <w:color w:val="000000"/>
                <w:sz w:val="18"/>
                <w:szCs w:val="18"/>
              </w:rPr>
              <w:t xml:space="preserve"> dis</w:t>
            </w:r>
            <w:r w:rsidRPr="0096392F">
              <w:rPr>
                <w:rFonts w:eastAsia="Times New Roman"/>
                <w:color w:val="000000"/>
                <w:sz w:val="18"/>
                <w:szCs w:val="18"/>
              </w:rPr>
              <w:t xml:space="preserve">incentive to promote energy efficiency because it </w:t>
            </w:r>
            <w:r w:rsidR="00E76652">
              <w:rPr>
                <w:rFonts w:eastAsia="Times New Roman"/>
                <w:color w:val="000000"/>
                <w:sz w:val="18"/>
                <w:szCs w:val="18"/>
              </w:rPr>
              <w:t xml:space="preserve">has the potential to </w:t>
            </w:r>
            <w:r w:rsidRPr="0096392F">
              <w:rPr>
                <w:rFonts w:eastAsia="Times New Roman"/>
                <w:color w:val="000000"/>
                <w:sz w:val="18"/>
                <w:szCs w:val="18"/>
              </w:rPr>
              <w:t>creates lost revenues to the utility</w:t>
            </w:r>
            <w:r w:rsidR="0096392F" w:rsidRPr="0096392F">
              <w:rPr>
                <w:rFonts w:eastAsia="Times New Roman"/>
                <w:color w:val="000000"/>
                <w:sz w:val="18"/>
                <w:szCs w:val="18"/>
              </w:rPr>
              <w:t xml:space="preserve"> in between rate cases due to lower electricity sales that lead to lower revenues</w:t>
            </w:r>
            <w:r w:rsidRPr="0096392F">
              <w:rPr>
                <w:rFonts w:eastAsia="Times New Roman"/>
                <w:color w:val="000000"/>
                <w:sz w:val="18"/>
                <w:szCs w:val="18"/>
              </w:rPr>
              <w:t xml:space="preserve">. </w:t>
            </w:r>
          </w:p>
          <w:p w14:paraId="0000010A" w14:textId="6E57D46F" w:rsidR="00CC75D1" w:rsidRPr="0096392F" w:rsidRDefault="0096392F">
            <w:pPr>
              <w:pBdr>
                <w:top w:val="nil"/>
                <w:left w:val="nil"/>
                <w:bottom w:val="nil"/>
                <w:right w:val="nil"/>
                <w:between w:val="nil"/>
              </w:pBdr>
              <w:spacing w:before="63"/>
              <w:rPr>
                <w:color w:val="000000"/>
                <w:sz w:val="18"/>
                <w:szCs w:val="18"/>
              </w:rPr>
            </w:pPr>
            <w:r w:rsidRPr="0096392F">
              <w:rPr>
                <w:rFonts w:eastAsia="Times New Roman"/>
                <w:color w:val="000000"/>
                <w:sz w:val="18"/>
                <w:szCs w:val="18"/>
              </w:rPr>
              <w:t xml:space="preserve">In addition, the existing framework creates incentives for utilities to invest in capital infrastructure over demand-side resources through ROEs that are likely higher than the cost of borrowing and the use of cost trackers. </w:t>
            </w:r>
            <w:r w:rsidR="00CC75D1" w:rsidRPr="0096392F">
              <w:rPr>
                <w:rFonts w:eastAsia="Times New Roman"/>
                <w:color w:val="000000"/>
                <w:sz w:val="18"/>
                <w:szCs w:val="18"/>
              </w:rPr>
              <w:t xml:space="preserve"> </w:t>
            </w:r>
          </w:p>
        </w:tc>
      </w:tr>
    </w:tbl>
    <w:p w14:paraId="0000010B" w14:textId="77777777" w:rsidR="00535740" w:rsidRDefault="00535740">
      <w:pPr>
        <w:pBdr>
          <w:top w:val="nil"/>
          <w:left w:val="nil"/>
          <w:bottom w:val="nil"/>
          <w:right w:val="nil"/>
          <w:between w:val="nil"/>
        </w:pBdr>
        <w:spacing w:before="63"/>
        <w:rPr>
          <w:color w:val="000000"/>
          <w:sz w:val="20"/>
          <w:szCs w:val="20"/>
        </w:rPr>
      </w:pPr>
    </w:p>
    <w:sectPr w:rsidR="00535740">
      <w:pgSz w:w="15840" w:h="12240" w:orient="landscape"/>
      <w:pgMar w:top="1380" w:right="1320" w:bottom="280" w:left="13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BEE20" w14:textId="77777777" w:rsidR="004564D3" w:rsidRDefault="004564D3">
      <w:r>
        <w:separator/>
      </w:r>
    </w:p>
  </w:endnote>
  <w:endnote w:type="continuationSeparator" w:id="0">
    <w:p w14:paraId="7B3B3BE8" w14:textId="77777777" w:rsidR="004564D3" w:rsidRDefault="00456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F38A0108-54A4-4E4C-B1E8-2D39BF444C89}"/>
    <w:embedBold r:id="rId2" w:fontKey="{0A9F7374-23CD-3F41-939C-29BB5EC456FA}"/>
    <w:embedItalic r:id="rId3" w:fontKey="{B608B91D-5F8C-4E4B-8F5E-5CD98BBC5333}"/>
  </w:font>
  <w:font w:name="Times New Roman">
    <w:panose1 w:val="02020603050405020304"/>
    <w:charset w:val="00"/>
    <w:family w:val="roman"/>
    <w:pitch w:val="variable"/>
    <w:sig w:usb0="E0002EFF" w:usb1="C000785B" w:usb2="00000009" w:usb3="00000000" w:csb0="000001FF" w:csb1="00000000"/>
    <w:embedRegular r:id="rId4" w:fontKey="{470ED61F-5E44-8A48-BD1E-1BE2FB05C0A5}"/>
    <w:embedBold r:id="rId5" w:fontKey="{81C6CCF2-C8CA-2E45-A9DD-844204CD374D}"/>
  </w:font>
  <w:font w:name="Courier New">
    <w:panose1 w:val="02070309020205020404"/>
    <w:charset w:val="00"/>
    <w:family w:val="modern"/>
    <w:pitch w:val="fixed"/>
    <w:sig w:usb0="E0002EFF" w:usb1="C0007843" w:usb2="00000009" w:usb3="00000000" w:csb0="000001FF" w:csb1="00000000"/>
    <w:embedRegular r:id="rId6" w:fontKey="{02C26688-05F8-3845-BA0C-D5DC9DD11F4E}"/>
  </w:font>
  <w:font w:name="Wingdings">
    <w:panose1 w:val="05000000000000000000"/>
    <w:charset w:val="4D"/>
    <w:family w:val="decorative"/>
    <w:pitch w:val="variable"/>
    <w:sig w:usb0="00000003" w:usb1="00000000" w:usb2="00000000" w:usb3="00000000" w:csb0="80000001" w:csb1="00000000"/>
    <w:embedRegular r:id="rId7" w:fontKey="{3378A8E5-1164-8140-AA8A-58F7DA67B5D5}"/>
  </w:font>
  <w:font w:name="Symbol">
    <w:panose1 w:val="05050102010706020507"/>
    <w:charset w:val="02"/>
    <w:family w:val="decorative"/>
    <w:pitch w:val="variable"/>
    <w:sig w:usb0="00000000" w:usb1="10000000" w:usb2="00000000" w:usb3="00000000" w:csb0="80000000" w:csb1="00000000"/>
    <w:embedRegular r:id="rId8" w:fontKey="{C9C72C5B-A89D-AB4E-AF6F-C53763B6E56D}"/>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0" w:fontKey="{90C77792-4499-EB4F-BECF-D1E98F6B3405}"/>
    <w:embedItalic r:id="rId11" w:fontKey="{3E782CA3-F7DF-DD49-A268-76386065CF46}"/>
  </w:font>
  <w:font w:name="Cambria">
    <w:panose1 w:val="02040503050406030204"/>
    <w:charset w:val="00"/>
    <w:family w:val="roman"/>
    <w:pitch w:val="variable"/>
    <w:sig w:usb0="E00006FF" w:usb1="420024FF" w:usb2="02000000" w:usb3="00000000" w:csb0="0000019F" w:csb1="00000000"/>
    <w:embedRegular r:id="rId12" w:fontKey="{58D2E5BF-1247-2C49-8822-CC3BCB63E675}"/>
  </w:font>
  <w:font w:name="Calibri">
    <w:panose1 w:val="020F0502020204030204"/>
    <w:charset w:val="00"/>
    <w:family w:val="swiss"/>
    <w:pitch w:val="variable"/>
    <w:sig w:usb0="E4002EFF" w:usb1="C000247B" w:usb2="00000009" w:usb3="00000000" w:csb0="000001FF" w:csb1="00000000"/>
    <w:embedRegular r:id="rId13" w:fontKey="{A75676AB-7DDD-BF42-A4ED-12EA725EA1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18113" w14:textId="77777777" w:rsidR="004564D3" w:rsidRDefault="004564D3">
      <w:r>
        <w:separator/>
      </w:r>
    </w:p>
  </w:footnote>
  <w:footnote w:type="continuationSeparator" w:id="0">
    <w:p w14:paraId="66A4AFAB" w14:textId="77777777" w:rsidR="004564D3" w:rsidRDefault="00456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554391"/>
    <w:multiLevelType w:val="hybridMultilevel"/>
    <w:tmpl w:val="C1C42ADE"/>
    <w:lvl w:ilvl="0" w:tplc="019ACDBA">
      <w:numFmt w:val="bullet"/>
      <w:lvlText w:val="-"/>
      <w:lvlJc w:val="left"/>
      <w:pPr>
        <w:ind w:left="720" w:hanging="360"/>
      </w:pPr>
      <w:rPr>
        <w:rFonts w:ascii="Arial" w:eastAsia="Times New Roman" w:hAnsi="Arial" w:cs="Arial" w:hint="default"/>
        <w:b/>
        <w:color w:val="auto"/>
        <w:sz w:val="2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B6470"/>
    <w:multiLevelType w:val="hybridMultilevel"/>
    <w:tmpl w:val="578E403A"/>
    <w:lvl w:ilvl="0" w:tplc="71762616">
      <w:numFmt w:val="bullet"/>
      <w:lvlText w:val="-"/>
      <w:lvlJc w:val="left"/>
      <w:pPr>
        <w:ind w:left="1080" w:hanging="360"/>
      </w:pPr>
      <w:rPr>
        <w:rFonts w:ascii="Times New Roman" w:eastAsia="Times New Roman" w:hAnsi="Times New Roman" w:cs="Times New Roman" w:hint="default"/>
        <w:b/>
        <w:bCs/>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CEE5602"/>
    <w:multiLevelType w:val="hybridMultilevel"/>
    <w:tmpl w:val="A1A82DB4"/>
    <w:lvl w:ilvl="0" w:tplc="B6A0C48E">
      <w:start w:val="17"/>
      <w:numFmt w:val="bullet"/>
      <w:lvlText w:val="-"/>
      <w:lvlJc w:val="left"/>
      <w:pPr>
        <w:ind w:left="720" w:hanging="360"/>
      </w:pPr>
      <w:rPr>
        <w:rFonts w:ascii="Times New Roman" w:eastAsia="Times New Roman" w:hAnsi="Times New Roman" w:cs="Times New Roman" w:hint="default"/>
        <w:b/>
        <w:bCs/>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DF306C"/>
    <w:multiLevelType w:val="multilevel"/>
    <w:tmpl w:val="DA0207DE"/>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 w15:restartNumberingAfterBreak="0">
    <w:nsid w:val="7994088A"/>
    <w:multiLevelType w:val="multilevel"/>
    <w:tmpl w:val="80E43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779351">
    <w:abstractNumId w:val="3"/>
  </w:num>
  <w:num w:numId="2" w16cid:durableId="778839866">
    <w:abstractNumId w:val="4"/>
  </w:num>
  <w:num w:numId="3" w16cid:durableId="1973707987">
    <w:abstractNumId w:val="2"/>
  </w:num>
  <w:num w:numId="4" w16cid:durableId="1793786573">
    <w:abstractNumId w:val="1"/>
  </w:num>
  <w:num w:numId="5" w16cid:durableId="1356421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740"/>
    <w:rsid w:val="000439E9"/>
    <w:rsid w:val="00070A11"/>
    <w:rsid w:val="000A5517"/>
    <w:rsid w:val="000C124E"/>
    <w:rsid w:val="000D492E"/>
    <w:rsid w:val="000E2FCA"/>
    <w:rsid w:val="00122FCD"/>
    <w:rsid w:val="001D3AD9"/>
    <w:rsid w:val="001F7438"/>
    <w:rsid w:val="00280562"/>
    <w:rsid w:val="0033132C"/>
    <w:rsid w:val="004564D3"/>
    <w:rsid w:val="004C17B8"/>
    <w:rsid w:val="00535740"/>
    <w:rsid w:val="005C029A"/>
    <w:rsid w:val="006167F8"/>
    <w:rsid w:val="00660272"/>
    <w:rsid w:val="00664130"/>
    <w:rsid w:val="00681DBF"/>
    <w:rsid w:val="006D1BE6"/>
    <w:rsid w:val="007264AE"/>
    <w:rsid w:val="007302D5"/>
    <w:rsid w:val="00734873"/>
    <w:rsid w:val="0079109E"/>
    <w:rsid w:val="00846118"/>
    <w:rsid w:val="00897374"/>
    <w:rsid w:val="00911CD4"/>
    <w:rsid w:val="0096392F"/>
    <w:rsid w:val="009A1A1E"/>
    <w:rsid w:val="00A133CD"/>
    <w:rsid w:val="00A31B73"/>
    <w:rsid w:val="00A512AB"/>
    <w:rsid w:val="00A9216B"/>
    <w:rsid w:val="00AA3687"/>
    <w:rsid w:val="00AA6ED2"/>
    <w:rsid w:val="00BB2736"/>
    <w:rsid w:val="00BF6192"/>
    <w:rsid w:val="00C0692A"/>
    <w:rsid w:val="00C966FA"/>
    <w:rsid w:val="00CB4A60"/>
    <w:rsid w:val="00CC7000"/>
    <w:rsid w:val="00CC75D1"/>
    <w:rsid w:val="00E148CD"/>
    <w:rsid w:val="00E62FEA"/>
    <w:rsid w:val="00E76652"/>
    <w:rsid w:val="00EC6EA6"/>
    <w:rsid w:val="00ED096F"/>
    <w:rsid w:val="00F70C9F"/>
    <w:rsid w:val="00FD314F"/>
    <w:rsid w:val="00FD6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95444"/>
  <w15:docId w15:val="{E6304028-D227-4F64-AAF2-18543FA2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70"/>
      <w:ind w:left="713"/>
      <w:jc w:val="center"/>
    </w:pPr>
    <w:rPr>
      <w:sz w:val="40"/>
      <w:szCs w:val="40"/>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615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257D"/>
    <w:rPr>
      <w:sz w:val="16"/>
      <w:szCs w:val="16"/>
    </w:rPr>
  </w:style>
  <w:style w:type="paragraph" w:styleId="CommentText">
    <w:name w:val="annotation text"/>
    <w:basedOn w:val="Normal"/>
    <w:link w:val="CommentTextChar"/>
    <w:uiPriority w:val="99"/>
    <w:unhideWhenUsed/>
    <w:rsid w:val="005F257D"/>
    <w:rPr>
      <w:sz w:val="20"/>
      <w:szCs w:val="20"/>
    </w:rPr>
  </w:style>
  <w:style w:type="character" w:customStyle="1" w:styleId="CommentTextChar">
    <w:name w:val="Comment Text Char"/>
    <w:basedOn w:val="DefaultParagraphFont"/>
    <w:link w:val="CommentText"/>
    <w:uiPriority w:val="99"/>
    <w:rsid w:val="005F257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F257D"/>
    <w:rPr>
      <w:b/>
      <w:bCs/>
    </w:rPr>
  </w:style>
  <w:style w:type="character" w:customStyle="1" w:styleId="CommentSubjectChar">
    <w:name w:val="Comment Subject Char"/>
    <w:basedOn w:val="CommentTextChar"/>
    <w:link w:val="CommentSubject"/>
    <w:uiPriority w:val="99"/>
    <w:semiHidden/>
    <w:rsid w:val="005F257D"/>
    <w:rPr>
      <w:rFonts w:ascii="Arial" w:eastAsia="Arial" w:hAnsi="Arial" w:cs="Arial"/>
      <w:b/>
      <w:bCs/>
      <w:sz w:val="20"/>
      <w:szCs w:val="20"/>
    </w:rPr>
  </w:style>
  <w:style w:type="paragraph" w:styleId="Revision">
    <w:name w:val="Revision"/>
    <w:hidden/>
    <w:uiPriority w:val="99"/>
    <w:semiHidden/>
    <w:rsid w:val="00DB0C1F"/>
    <w:pPr>
      <w:widowControl/>
    </w:pPr>
  </w:style>
  <w:style w:type="paragraph" w:styleId="NormalWeb">
    <w:name w:val="Normal (Web)"/>
    <w:basedOn w:val="Normal"/>
    <w:uiPriority w:val="99"/>
    <w:semiHidden/>
    <w:unhideWhenUsed/>
    <w:rsid w:val="003D5C0B"/>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031F4"/>
    <w:rPr>
      <w:sz w:val="20"/>
      <w:szCs w:val="20"/>
    </w:rPr>
  </w:style>
  <w:style w:type="character" w:customStyle="1" w:styleId="FootnoteTextChar">
    <w:name w:val="Footnote Text Char"/>
    <w:basedOn w:val="DefaultParagraphFont"/>
    <w:link w:val="FootnoteText"/>
    <w:uiPriority w:val="99"/>
    <w:semiHidden/>
    <w:rsid w:val="002031F4"/>
    <w:rPr>
      <w:rFonts w:ascii="Arial" w:eastAsia="Arial" w:hAnsi="Arial" w:cs="Arial"/>
      <w:sz w:val="20"/>
      <w:szCs w:val="20"/>
    </w:rPr>
  </w:style>
  <w:style w:type="character" w:styleId="FootnoteReference">
    <w:name w:val="footnote reference"/>
    <w:basedOn w:val="DefaultParagraphFont"/>
    <w:uiPriority w:val="99"/>
    <w:semiHidden/>
    <w:unhideWhenUsed/>
    <w:rsid w:val="002031F4"/>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970447">
      <w:bodyDiv w:val="1"/>
      <w:marLeft w:val="0"/>
      <w:marRight w:val="0"/>
      <w:marTop w:val="0"/>
      <w:marBottom w:val="0"/>
      <w:divBdr>
        <w:top w:val="none" w:sz="0" w:space="0" w:color="auto"/>
        <w:left w:val="none" w:sz="0" w:space="0" w:color="auto"/>
        <w:bottom w:val="none" w:sz="0" w:space="0" w:color="auto"/>
        <w:right w:val="none" w:sz="0" w:space="0" w:color="auto"/>
      </w:divBdr>
    </w:div>
    <w:div w:id="1804762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A52riYXJxlGIkZ8ne9yM/WQZQ==">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Gorman</dc:creator>
  <cp:lastModifiedBy>Laura Gonzalez</cp:lastModifiedBy>
  <cp:revision>2</cp:revision>
  <dcterms:created xsi:type="dcterms:W3CDTF">2025-03-26T20:29:00Z</dcterms:created>
  <dcterms:modified xsi:type="dcterms:W3CDTF">2025-03-26T20:29:00Z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Microsoft Word</vt:lpwstr>
  </property>
  <property fmtid="{D5CDD505-2E9C-101B-9397-08002B2CF9AE}" pid="4" name="LastSaved">
    <vt:filetime>2025-02-18T00:00:00Z</vt:filetime>
  </property>
  <property fmtid="{D5CDD505-2E9C-101B-9397-08002B2CF9AE}" pid="5" name="ContentTypeId">
    <vt:lpwstr>0x0101008FF40A6A3C91D64EA9F4F92C6DA6B971</vt:lpwstr>
  </property>
</Properties>
</file>